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A6" w:rsidRDefault="00C114A6">
      <w:pPr>
        <w:spacing w:before="120" w:after="120"/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0pt">
            <v:imagedata r:id="rId4" o:title=""/>
          </v:shape>
        </w:pict>
      </w:r>
    </w:p>
    <w:p w:rsidR="00C114A6" w:rsidRDefault="00C114A6">
      <w:pPr>
        <w:pStyle w:val="a5"/>
        <w:rPr>
          <w:spacing w:val="20"/>
        </w:rPr>
      </w:pPr>
      <w:r>
        <w:rPr>
          <w:spacing w:val="20"/>
        </w:rPr>
        <w:t>ГОСУДАРСТВЕННЫЙ СТАНДАРТ СОЮЗА ССР</w:t>
      </w:r>
    </w:p>
    <w:p w:rsidR="00C114A6" w:rsidRDefault="00C114A6">
      <w:pPr>
        <w:pStyle w:val="a6"/>
        <w:rPr>
          <w:sz w:val="26"/>
        </w:rPr>
      </w:pPr>
      <w:r>
        <w:rPr>
          <w:sz w:val="26"/>
        </w:rPr>
        <w:t xml:space="preserve">ФУНДАМЕНТЫ ЖЕЛЕЗОБЕТОННЫЕ </w:t>
      </w:r>
      <w:r>
        <w:rPr>
          <w:sz w:val="26"/>
        </w:rPr>
        <w:br/>
        <w:t xml:space="preserve">СБОРНЫЕ ПОД КОЛОННЫ </w:t>
      </w:r>
      <w:r>
        <w:rPr>
          <w:sz w:val="26"/>
        </w:rPr>
        <w:br/>
        <w:t>СЕЛЬСКОХОЗЯЙСТВЕННЫХ ЗДАНИЙ</w:t>
      </w:r>
    </w:p>
    <w:p w:rsidR="00C114A6" w:rsidRDefault="00C114A6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Технические условия</w:t>
      </w:r>
    </w:p>
    <w:p w:rsidR="00C114A6" w:rsidRDefault="00C114A6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ГОСТ 24022-80</w:t>
      </w:r>
    </w:p>
    <w:p w:rsidR="00C114A6" w:rsidRDefault="00C114A6">
      <w:pPr>
        <w:spacing w:before="120"/>
        <w:jc w:val="center"/>
        <w:rPr>
          <w:b/>
          <w:sz w:val="24"/>
        </w:rPr>
      </w:pPr>
    </w:p>
    <w:p w:rsidR="00C114A6" w:rsidRDefault="00C114A6">
      <w:pPr>
        <w:jc w:val="center"/>
        <w:rPr>
          <w:b/>
          <w:caps/>
        </w:rPr>
      </w:pPr>
      <w:r>
        <w:rPr>
          <w:b/>
          <w:caps/>
        </w:rPr>
        <w:t>Государственным комитетом СССР по делам строительства</w:t>
      </w:r>
    </w:p>
    <w:p w:rsidR="00C114A6" w:rsidRDefault="00C114A6">
      <w:pPr>
        <w:jc w:val="center"/>
        <w:rPr>
          <w:b/>
        </w:rPr>
      </w:pPr>
      <w:r>
        <w:rPr>
          <w:b/>
          <w:caps/>
        </w:rPr>
        <w:t>М</w:t>
      </w:r>
      <w:r>
        <w:rPr>
          <w:b/>
        </w:rPr>
        <w:t>осква</w:t>
      </w:r>
    </w:p>
    <w:p w:rsidR="00C114A6" w:rsidRDefault="00C114A6">
      <w:pPr>
        <w:jc w:val="center"/>
        <w:rPr>
          <w:b/>
        </w:rPr>
      </w:pPr>
    </w:p>
    <w:p w:rsidR="00C114A6" w:rsidRDefault="00C114A6">
      <w:pPr>
        <w:jc w:val="center"/>
        <w:rPr>
          <w:b/>
          <w:caps/>
          <w:sz w:val="24"/>
        </w:rPr>
      </w:pPr>
    </w:p>
    <w:p w:rsidR="00C114A6" w:rsidRDefault="00C114A6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ook w:val="0000"/>
      </w:tblPr>
      <w:tblGrid>
        <w:gridCol w:w="7515"/>
        <w:gridCol w:w="1772"/>
      </w:tblGrid>
      <w:tr w:rsidR="00C114A6">
        <w:trPr>
          <w:jc w:val="center"/>
        </w:trPr>
        <w:tc>
          <w:tcPr>
            <w:tcW w:w="4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14A6" w:rsidRDefault="00C114A6">
            <w:pPr>
              <w:pStyle w:val="a6"/>
              <w:spacing w:before="120"/>
            </w:pPr>
            <w:r>
              <w:t>ФУНДАМЕНТЫ ЖЕЛЕЗОБЕТОННЫЕ СБОРНЫЕ ПОД КОЛОННЫ СЕЛЬСКОХОЗЯЙСТВЕННЫХ ЗДАНИЙ</w:t>
            </w:r>
          </w:p>
          <w:p w:rsidR="00C114A6" w:rsidRDefault="00C114A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  <w:p w:rsidR="00C114A6" w:rsidRDefault="00C114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Precast reinfoced concrete foundations for columns of </w:t>
            </w:r>
            <w:r>
              <w:rPr>
                <w:sz w:val="24"/>
                <w:lang w:val="en-US"/>
              </w:rPr>
              <w:br/>
              <w:t>agricultural buildings</w:t>
            </w:r>
          </w:p>
          <w:p w:rsidR="00C114A6" w:rsidRDefault="00C114A6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  <w:lang w:val="en-US"/>
              </w:rPr>
              <w:t>Specifications</w:t>
            </w:r>
          </w:p>
        </w:tc>
        <w:tc>
          <w:tcPr>
            <w:tcW w:w="9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114A6" w:rsidRDefault="00C114A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ГОСТ </w:t>
            </w:r>
            <w:r>
              <w:rPr>
                <w:b/>
                <w:sz w:val="28"/>
              </w:rPr>
              <w:br/>
              <w:t>24022-80</w:t>
            </w:r>
          </w:p>
        </w:tc>
      </w:tr>
    </w:tbl>
    <w:p w:rsidR="00C114A6" w:rsidRDefault="00C114A6">
      <w:pPr>
        <w:pStyle w:val="BodyText2"/>
        <w:spacing w:after="120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14 февраля 1980 г. № 13 срок введения установлен</w:t>
      </w:r>
    </w:p>
    <w:p w:rsidR="00C114A6" w:rsidRDefault="00C114A6">
      <w:pPr>
        <w:spacing w:after="120"/>
        <w:ind w:firstLine="567"/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с 01.01 1981 г.</w:t>
      </w:r>
    </w:p>
    <w:p w:rsidR="00C114A6" w:rsidRDefault="00C114A6">
      <w:pPr>
        <w:spacing w:after="120"/>
        <w:jc w:val="both"/>
        <w:rPr>
          <w:b/>
          <w:sz w:val="24"/>
        </w:rPr>
      </w:pPr>
      <w:r>
        <w:rPr>
          <w:b/>
          <w:sz w:val="24"/>
        </w:rPr>
        <w:t>РАЗРАБОТАН</w:t>
      </w:r>
    </w:p>
    <w:p w:rsidR="00C114A6" w:rsidRDefault="00C114A6">
      <w:pPr>
        <w:pStyle w:val="BodyText3"/>
        <w:rPr>
          <w:b/>
        </w:rPr>
      </w:pPr>
      <w:r>
        <w:rPr>
          <w:b/>
        </w:rPr>
        <w:t>Министерством сельского хозяйства СССР</w:t>
      </w:r>
    </w:p>
    <w:p w:rsidR="00C114A6" w:rsidRDefault="00C114A6">
      <w:pPr>
        <w:pStyle w:val="BodyText3"/>
        <w:spacing w:after="120"/>
        <w:rPr>
          <w:b/>
        </w:rPr>
      </w:pPr>
      <w:r>
        <w:rPr>
          <w:b/>
        </w:rPr>
        <w:t>Государственным комитетом СССР по делам строительства</w:t>
      </w:r>
    </w:p>
    <w:p w:rsidR="00C114A6" w:rsidRDefault="00C114A6">
      <w:pPr>
        <w:spacing w:after="120"/>
        <w:jc w:val="both"/>
        <w:rPr>
          <w:b/>
          <w:sz w:val="24"/>
        </w:rPr>
      </w:pPr>
      <w:r>
        <w:rPr>
          <w:b/>
          <w:sz w:val="24"/>
        </w:rPr>
        <w:t>ИСПОЛНИТЕЛИ</w:t>
      </w:r>
    </w:p>
    <w:p w:rsidR="00C114A6" w:rsidRDefault="00C114A6">
      <w:pPr>
        <w:ind w:left="284"/>
        <w:jc w:val="both"/>
        <w:rPr>
          <w:sz w:val="24"/>
        </w:rPr>
      </w:pPr>
      <w:r>
        <w:rPr>
          <w:b/>
          <w:sz w:val="24"/>
        </w:rPr>
        <w:t>И.Н. Котов</w:t>
      </w:r>
      <w:r>
        <w:rPr>
          <w:sz w:val="24"/>
        </w:rPr>
        <w:t xml:space="preserve"> (руководитель темы); </w:t>
      </w:r>
      <w:r>
        <w:rPr>
          <w:b/>
          <w:sz w:val="24"/>
        </w:rPr>
        <w:t>М.Я. Кацман</w:t>
      </w:r>
      <w:r>
        <w:rPr>
          <w:sz w:val="24"/>
        </w:rPr>
        <w:t xml:space="preserve">; </w:t>
      </w:r>
      <w:r>
        <w:rPr>
          <w:b/>
          <w:sz w:val="24"/>
        </w:rPr>
        <w:t>Ю.А. Вислогузов</w:t>
      </w:r>
      <w:r>
        <w:rPr>
          <w:sz w:val="24"/>
        </w:rPr>
        <w:t xml:space="preserve">; </w:t>
      </w:r>
      <w:r>
        <w:rPr>
          <w:b/>
          <w:sz w:val="24"/>
        </w:rPr>
        <w:t>Г.И. Бердичевский</w:t>
      </w:r>
      <w:r>
        <w:rPr>
          <w:sz w:val="24"/>
        </w:rPr>
        <w:t>; д-р техн. наук</w:t>
      </w:r>
      <w:r>
        <w:rPr>
          <w:b/>
          <w:sz w:val="24"/>
        </w:rPr>
        <w:t>; Ф.А. Иссерс</w:t>
      </w:r>
      <w:r>
        <w:rPr>
          <w:sz w:val="24"/>
        </w:rPr>
        <w:t xml:space="preserve">, канд. техн. наук; </w:t>
      </w:r>
      <w:r>
        <w:rPr>
          <w:b/>
          <w:sz w:val="24"/>
        </w:rPr>
        <w:t>П.М. Зубко</w:t>
      </w:r>
    </w:p>
    <w:p w:rsidR="00C114A6" w:rsidRDefault="00C114A6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ВНЕСЕН Министерством сельского хозяйства СССР</w:t>
      </w:r>
    </w:p>
    <w:p w:rsidR="00C114A6" w:rsidRDefault="00C114A6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Зам. министра </w:t>
      </w:r>
      <w:r>
        <w:rPr>
          <w:b/>
          <w:sz w:val="24"/>
        </w:rPr>
        <w:t>И. П. Быстрюков</w:t>
      </w:r>
    </w:p>
    <w:p w:rsidR="00C114A6" w:rsidRDefault="00C114A6">
      <w:pPr>
        <w:pStyle w:val="BodyText2"/>
        <w:spacing w:after="120"/>
        <w:ind w:firstLine="0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делам строительства от 14 февраля 1980 г. № 13</w:t>
      </w:r>
    </w:p>
    <w:p w:rsidR="00C114A6" w:rsidRDefault="00C114A6">
      <w:pPr>
        <w:pStyle w:val="BodyText2"/>
        <w:spacing w:after="120"/>
        <w:ind w:firstLine="0"/>
        <w:rPr>
          <w:b/>
        </w:rPr>
      </w:pPr>
    </w:p>
    <w:p w:rsidR="00C114A6" w:rsidRDefault="00C114A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СОДЕРЖАНИЕ</w:t>
      </w:r>
    </w:p>
    <w:p w:rsidR="00C114A6" w:rsidRDefault="00C114A6">
      <w:pPr>
        <w:pStyle w:val="BodyText3"/>
      </w:pPr>
      <w:hyperlink w:anchor="_1._ТИПЫ_И" w:tooltip="1 Типы и размеры" w:history="1">
        <w:r>
          <w:rPr>
            <w:rStyle w:val="a3"/>
          </w:rPr>
          <w:t>1 Типы и размеры</w:t>
        </w:r>
      </w:hyperlink>
    </w:p>
    <w:p w:rsidR="00C114A6" w:rsidRDefault="00C114A6">
      <w:pPr>
        <w:jc w:val="both"/>
        <w:rPr>
          <w:sz w:val="24"/>
        </w:rPr>
      </w:pPr>
      <w:hyperlink w:anchor="_2._ТЕХНИЧЕСКИЕ_ТРЕБОВАНИЯ" w:tooltip="2 Технические требования" w:history="1">
        <w:r>
          <w:rPr>
            <w:rStyle w:val="a3"/>
            <w:sz w:val="24"/>
          </w:rPr>
          <w:t>2 Технические требования</w:t>
        </w:r>
      </w:hyperlink>
    </w:p>
    <w:p w:rsidR="00C114A6" w:rsidRDefault="00C114A6">
      <w:pPr>
        <w:jc w:val="both"/>
        <w:rPr>
          <w:sz w:val="24"/>
        </w:rPr>
      </w:pPr>
      <w:hyperlink w:anchor="_3._ПРАВИЛА_ПРИЕМКИ" w:tooltip="3 Правила приемки" w:history="1">
        <w:r>
          <w:rPr>
            <w:rStyle w:val="a3"/>
            <w:sz w:val="24"/>
          </w:rPr>
          <w:t>3 Правила приемки</w:t>
        </w:r>
      </w:hyperlink>
    </w:p>
    <w:p w:rsidR="00C114A6" w:rsidRDefault="00C114A6">
      <w:pPr>
        <w:jc w:val="both"/>
        <w:rPr>
          <w:sz w:val="24"/>
        </w:rPr>
      </w:pPr>
      <w:hyperlink w:anchor="_4._МЕТОДЫ_КОНТРОЛЯ" w:tooltip="4 Методы контроля и испытаний" w:history="1">
        <w:r>
          <w:rPr>
            <w:rStyle w:val="a3"/>
            <w:sz w:val="24"/>
          </w:rPr>
          <w:t>4 Методы контроля и испытаний</w:t>
        </w:r>
      </w:hyperlink>
    </w:p>
    <w:p w:rsidR="00C114A6" w:rsidRDefault="00C114A6">
      <w:pPr>
        <w:jc w:val="both"/>
        <w:rPr>
          <w:sz w:val="24"/>
        </w:rPr>
      </w:pPr>
      <w:hyperlink w:anchor="_5._МАРКИРОВКА,_ХРАНЕНИЕ" w:tooltip="5 Маркировка, хранение и транспортирование" w:history="1">
        <w:r>
          <w:rPr>
            <w:rStyle w:val="a3"/>
            <w:sz w:val="24"/>
          </w:rPr>
          <w:t>5 Маркировка, хранение и транспортирование</w:t>
        </w:r>
      </w:hyperlink>
    </w:p>
    <w:p w:rsidR="00C114A6" w:rsidRDefault="00C114A6">
      <w:pPr>
        <w:jc w:val="both"/>
        <w:rPr>
          <w:sz w:val="24"/>
        </w:rPr>
      </w:pPr>
      <w:hyperlink w:anchor="_6._ГАРАНТИИ_ИЗГОТОВИТЕЛЯ" w:tooltip="6 Гарантии изготовителя" w:history="1">
        <w:r>
          <w:rPr>
            <w:rStyle w:val="a3"/>
            <w:sz w:val="24"/>
          </w:rPr>
          <w:t>6 Гарантии изготовителя</w:t>
        </w:r>
      </w:hyperlink>
    </w:p>
    <w:p w:rsidR="00C114A6" w:rsidRDefault="00C114A6">
      <w:pPr>
        <w:jc w:val="both"/>
        <w:rPr>
          <w:sz w:val="24"/>
        </w:rPr>
      </w:pPr>
      <w:hyperlink w:anchor="PRIL" w:tooltip="Приложение" w:history="1">
        <w:r>
          <w:rPr>
            <w:rStyle w:val="a3"/>
            <w:sz w:val="24"/>
          </w:rPr>
          <w:t>Приложение</w:t>
        </w:r>
      </w:hyperlink>
      <w:r>
        <w:rPr>
          <w:sz w:val="24"/>
        </w:rPr>
        <w:t xml:space="preserve"> Рабочие чертежи фундаментов</w:t>
      </w:r>
    </w:p>
    <w:p w:rsidR="00C114A6" w:rsidRDefault="00C114A6">
      <w:pPr>
        <w:jc w:val="both"/>
        <w:rPr>
          <w:sz w:val="24"/>
        </w:rPr>
      </w:pPr>
    </w:p>
    <w:p w:rsidR="00C114A6" w:rsidRDefault="00C114A6">
      <w:pPr>
        <w:ind w:firstLine="567"/>
        <w:jc w:val="both"/>
        <w:rPr>
          <w:sz w:val="24"/>
        </w:rPr>
      </w:pP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Настоящий стандарт распространяется на сборные железобетонные фундаменты стаканного типа, изготовляемые из тяжелого бетона и предназначаемые для применения в одноэтажных зданиях сельскохозяйственных предприятий, возводимых на грунтах с неагрессивными, а также слабо- и среднеагрессивными грунтовыми водами.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Настоящий стандарт не распространяется на фундаменты, предназначаемые для применения в зданиях с расчетной сейсмичностью 8 баллов и выше.</w:t>
      </w:r>
    </w:p>
    <w:p w:rsidR="00C114A6" w:rsidRDefault="00C114A6">
      <w:pPr>
        <w:pStyle w:val="1"/>
      </w:pPr>
      <w:bookmarkStart w:id="0" w:name="_1._ТИПЫ_И"/>
      <w:bookmarkEnd w:id="0"/>
      <w:r>
        <w:t xml:space="preserve">1. ТИПЫ И РАЗМЕРЫ 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1.1. Фундаменты по конструктивному исполнению подразделяются на три типа: 1Ф, 2Ф и 3Ф.</w:t>
      </w:r>
    </w:p>
    <w:p w:rsidR="00C114A6" w:rsidRDefault="00C114A6">
      <w:pPr>
        <w:pStyle w:val="BodyText2"/>
        <w:spacing w:before="0"/>
        <w:ind w:firstLine="284"/>
      </w:pPr>
      <w:r>
        <w:t>1.2. Фундаменты в зависимости от наличия и толщины опирающихся на них стен подразделяются на два вида: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1 - под стены толщиной до 250 мм включительно или при их отсутствии;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2 - под стены толщиной более 250 мм.</w:t>
      </w:r>
    </w:p>
    <w:p w:rsidR="00C114A6" w:rsidRDefault="00C114A6">
      <w:pPr>
        <w:pStyle w:val="a7"/>
      </w:pPr>
      <w:r>
        <w:t xml:space="preserve">1.3. Форма и размеры фундаментов, а также технические показатели должны соответствовать указанным в обязательном </w:t>
      </w:r>
      <w:hyperlink w:anchor="PRIL" w:tooltip="приложение" w:history="1">
        <w:r>
          <w:rPr>
            <w:rStyle w:val="a3"/>
          </w:rPr>
          <w:t>приложении</w:t>
        </w:r>
      </w:hyperlink>
      <w:r>
        <w:t xml:space="preserve"> и </w:t>
      </w:r>
      <w:hyperlink w:anchor="t1" w:tooltip="таблица 1" w:history="1">
        <w:r>
          <w:rPr>
            <w:rStyle w:val="a3"/>
          </w:rPr>
          <w:t>табл. 1</w:t>
        </w:r>
      </w:hyperlink>
      <w:r>
        <w:t>.</w:t>
      </w:r>
    </w:p>
    <w:p w:rsidR="00C114A6" w:rsidRDefault="00C114A6">
      <w:pPr>
        <w:spacing w:before="120" w:after="120"/>
        <w:ind w:firstLine="567"/>
        <w:jc w:val="right"/>
        <w:rPr>
          <w:spacing w:val="40"/>
          <w:sz w:val="24"/>
        </w:rPr>
      </w:pPr>
      <w:bookmarkStart w:id="1" w:name="t1"/>
      <w:r>
        <w:rPr>
          <w:spacing w:val="40"/>
          <w:sz w:val="24"/>
        </w:rPr>
        <w:t>Таблица 1</w:t>
      </w:r>
      <w:bookmarkEnd w:id="1"/>
    </w:p>
    <w:tbl>
      <w:tblPr>
        <w:tblW w:w="5000" w:type="pct"/>
        <w:jc w:val="center"/>
        <w:tblCellMar>
          <w:left w:w="36" w:type="dxa"/>
          <w:right w:w="36" w:type="dxa"/>
        </w:tblCellMar>
        <w:tblLook w:val="0000"/>
      </w:tblPr>
      <w:tblGrid>
        <w:gridCol w:w="1191"/>
        <w:gridCol w:w="666"/>
        <w:gridCol w:w="867"/>
        <w:gridCol w:w="764"/>
        <w:gridCol w:w="2378"/>
        <w:gridCol w:w="927"/>
        <w:gridCol w:w="958"/>
        <w:gridCol w:w="1392"/>
      </w:tblGrid>
      <w:tr w:rsidR="00C114A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Марка </w:t>
            </w:r>
            <w:r>
              <w:rPr>
                <w:b/>
                <w:bCs/>
              </w:rPr>
              <w:br/>
              <w:t>фундамента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4A6" w:rsidRDefault="00C1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размеры, мм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Проектная марка бетона </w:t>
            </w:r>
            <w:r>
              <w:rPr>
                <w:b/>
                <w:bCs/>
              </w:rPr>
              <w:br/>
              <w:t>по прочности на сжатие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4A6" w:rsidRDefault="00C1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Масса </w:t>
            </w:r>
            <w:r>
              <w:rPr>
                <w:b/>
                <w:bCs/>
              </w:rPr>
              <w:br/>
              <w:t>фундамента, т</w:t>
            </w:r>
          </w:p>
        </w:tc>
      </w:tr>
      <w:tr w:rsidR="00C114A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Высота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Бетон, 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Сталь, кг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C114A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1Ф9.9-1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900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14A6" w:rsidRDefault="00C114A6">
            <w:pPr>
              <w:jc w:val="center"/>
            </w:pPr>
            <w:r>
              <w:t>900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jc w:val="center"/>
            </w:pPr>
            <w:r>
              <w:t>650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0,9</w:t>
            </w:r>
          </w:p>
        </w:tc>
      </w:tr>
      <w:tr w:rsidR="00C114A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1Ф12.9-2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4A6" w:rsidRDefault="00C114A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0,49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16,9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1,2</w:t>
            </w:r>
          </w:p>
        </w:tc>
      </w:tr>
      <w:tr w:rsidR="00C114A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1Ф12.12-1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</w:tr>
      <w:tr w:rsidR="00C114A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Ф</w:t>
            </w:r>
            <w:r>
              <w:rPr>
                <w:lang w:val="en-US"/>
              </w:rPr>
              <w:t>12.12-2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C114A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2Ф15. I5-2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jc w:val="center"/>
            </w:pPr>
            <w:r>
              <w:t>1500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jc w:val="center"/>
            </w:pPr>
            <w:r>
              <w:t>1500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0,81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27,1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2,0</w:t>
            </w:r>
          </w:p>
        </w:tc>
      </w:tr>
      <w:tr w:rsidR="00C114A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3Ф15.15-1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1,9</w:t>
            </w:r>
          </w:p>
        </w:tc>
      </w:tr>
      <w:tr w:rsidR="00C114A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3Ф18.18-2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900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38,5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3,4</w:t>
            </w:r>
          </w:p>
        </w:tc>
      </w:tr>
    </w:tbl>
    <w:p w:rsidR="00C114A6" w:rsidRDefault="00C114A6">
      <w:pPr>
        <w:pStyle w:val="BodyText2"/>
        <w:ind w:firstLine="284"/>
      </w:pPr>
      <w:r>
        <w:t xml:space="preserve">1.4. Фундаменты обозначаются марками, состоящими из двух буквенно-цифровых групп, составленными в соответствии с </w:t>
      </w:r>
      <w:hyperlink r:id="rId5" w:tooltip="ГОСТ 23009-78" w:history="1">
        <w:r>
          <w:rPr>
            <w:rStyle w:val="a3"/>
          </w:rPr>
          <w:t>ГОСТ 23009-78</w:t>
        </w:r>
      </w:hyperlink>
      <w:r>
        <w:t>.</w:t>
      </w:r>
    </w:p>
    <w:p w:rsidR="00C114A6" w:rsidRDefault="00C114A6">
      <w:pPr>
        <w:pStyle w:val="BodyText2"/>
        <w:spacing w:before="0"/>
        <w:ind w:firstLine="284"/>
      </w:pPr>
      <w:r>
        <w:t>В первую группу входят тип фундамента и размеры его подошвы в дециметрах, во вторую группу входят вид фундамента в зависимости от толщины опирающихся на них стен и стойкость к агрессивной среде (при необходимости), обозначаемая буквой П.</w:t>
      </w:r>
    </w:p>
    <w:p w:rsidR="00C114A6" w:rsidRDefault="00C114A6">
      <w:pPr>
        <w:pStyle w:val="a7"/>
      </w:pPr>
      <w:r>
        <w:t>Пример условного обозначения фундамента типа 1Ф с размерами подошвы 900</w:t>
      </w:r>
      <w:r>
        <w:sym w:font="Symbol" w:char="00B4"/>
      </w:r>
      <w:r>
        <w:t xml:space="preserve">900 мм, под стены толщиной до 250 мм, возводимого на грунте с неагрессивной степенью воздействия грунтовых вод или при их отсутствии. </w:t>
      </w:r>
    </w:p>
    <w:p w:rsidR="00C114A6" w:rsidRDefault="00C114A6">
      <w:pPr>
        <w:spacing w:before="120" w:after="120"/>
        <w:jc w:val="center"/>
        <w:rPr>
          <w:i/>
          <w:sz w:val="24"/>
        </w:rPr>
      </w:pPr>
      <w:r>
        <w:rPr>
          <w:i/>
          <w:sz w:val="24"/>
        </w:rPr>
        <w:t>1Ф9.9-1 ГОСТ 24022-80</w:t>
      </w:r>
    </w:p>
    <w:p w:rsidR="00C114A6" w:rsidRDefault="00C114A6">
      <w:pPr>
        <w:pStyle w:val="BodyText2"/>
        <w:spacing w:before="0"/>
        <w:ind w:firstLine="284"/>
      </w:pPr>
      <w:r>
        <w:t>То же, типа 2Ф с размерами подошвы 1500</w:t>
      </w:r>
      <w:r>
        <w:sym w:font="Symbol" w:char="00B4"/>
      </w:r>
      <w:r>
        <w:t>1500 мм, под стены толщиной более 250 мм, возводимого на грунте со слабо- или среднеагрессивной степенью воздействия грунтовых вод:</w:t>
      </w:r>
    </w:p>
    <w:p w:rsidR="00C114A6" w:rsidRDefault="00C114A6">
      <w:pPr>
        <w:spacing w:before="120"/>
        <w:jc w:val="center"/>
        <w:rPr>
          <w:i/>
          <w:sz w:val="24"/>
        </w:rPr>
      </w:pPr>
      <w:r>
        <w:rPr>
          <w:i/>
          <w:sz w:val="24"/>
        </w:rPr>
        <w:t>2Ф15.15-2П ГОСТ 24022-80</w:t>
      </w:r>
    </w:p>
    <w:p w:rsidR="00C114A6" w:rsidRDefault="00C114A6">
      <w:pPr>
        <w:pStyle w:val="1"/>
      </w:pPr>
      <w:bookmarkStart w:id="2" w:name="_2._ТЕХНИЧЕСКИЕ_ТРЕБОВАНИЯ"/>
      <w:bookmarkEnd w:id="2"/>
      <w:r>
        <w:lastRenderedPageBreak/>
        <w:t>2. ТЕХНИЧЕСКИЕ ТРЕБОВАНИЯ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2.1. Фундаменты должны изготовляться в соответствии с требованиями настоящего стандарта по рабочим чертежам, приведенным в обязательном </w:t>
      </w:r>
      <w:hyperlink w:anchor="PRIL" w:tooltip="приложение" w:history="1">
        <w:r>
          <w:rPr>
            <w:rStyle w:val="a3"/>
            <w:sz w:val="24"/>
          </w:rPr>
          <w:t>приложении</w:t>
        </w:r>
      </w:hyperlink>
      <w:r>
        <w:rPr>
          <w:sz w:val="24"/>
        </w:rPr>
        <w:t xml:space="preserve"> к настоящему стандарту.</w:t>
      </w:r>
    </w:p>
    <w:p w:rsidR="00C114A6" w:rsidRDefault="00C114A6">
      <w:pPr>
        <w:pStyle w:val="BodyText2"/>
        <w:spacing w:before="0"/>
        <w:ind w:firstLine="284"/>
      </w:pPr>
      <w:r>
        <w:t>2.2. Фундаменты должны изготовляться в стальных формах, удовлетворяющих требованиям ГОСТ 18886-73.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Допускается изготовлять фундаменты в неметаллических формах, обеспечивающих соблюдение требований настоящего стандарта к качеству и точности изготовления конструкций.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2.3. Для изготовления фундаментов должен применяться бетон по прочности на сжатие М200.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2.4. Материалы, применяемые для приготовления бетона, должны удовлетворять действующим стандартам или утвержденным в установленном порядке техническим условиям на эти материалы.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2.5. Бетон по морозостойкости должен соответствовать маркам, назначаемым в зависимости от режима эксплуатации конструкции и климатических условий района строительства согласно главе СНиП </w:t>
      </w:r>
      <w:r>
        <w:rPr>
          <w:sz w:val="24"/>
          <w:lang w:val="en-US"/>
        </w:rPr>
        <w:t>II</w:t>
      </w:r>
      <w:r>
        <w:rPr>
          <w:sz w:val="24"/>
        </w:rPr>
        <w:t>-21-75.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2.6. Бетон, а также материалы для приготовления бетона фундаментов, применяемых в условиях воздействия агрессивной среды, должны удовлетворять требованиям главы СНиП </w:t>
      </w:r>
      <w:r>
        <w:rPr>
          <w:sz w:val="24"/>
          <w:lang w:val="en-US"/>
        </w:rPr>
        <w:t>II</w:t>
      </w:r>
      <w:r>
        <w:rPr>
          <w:sz w:val="24"/>
        </w:rPr>
        <w:t>-28-73.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2.6.1. Бетон фундаментов, предназначенных для работы в условиях воздействия слабо- или среднеагрессивных грунтовых вод, должен быть повышенной плотности (П).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Показатели плотности бетона должны соответствовать показателям, установленным главой СНиП </w:t>
      </w:r>
      <w:r>
        <w:rPr>
          <w:sz w:val="24"/>
          <w:lang w:val="en-US"/>
        </w:rPr>
        <w:t>II</w:t>
      </w:r>
      <w:r>
        <w:rPr>
          <w:sz w:val="24"/>
        </w:rPr>
        <w:t>-28-73.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2.7. Для армирования фундаментов применяют горячекатаную арматурную сталь класса А-</w:t>
      </w:r>
      <w:r>
        <w:rPr>
          <w:sz w:val="24"/>
          <w:lang w:val="en-US"/>
        </w:rPr>
        <w:t>III</w:t>
      </w:r>
      <w:r>
        <w:rPr>
          <w:sz w:val="24"/>
        </w:rPr>
        <w:t xml:space="preserve"> по </w:t>
      </w:r>
      <w:hyperlink r:id="rId6" w:tooltip="ГОСТ 5781-75" w:history="1">
        <w:r>
          <w:rPr>
            <w:rStyle w:val="a3"/>
            <w:sz w:val="24"/>
          </w:rPr>
          <w:t>ГОСТ 5781-75</w:t>
        </w:r>
      </w:hyperlink>
      <w:r>
        <w:rPr>
          <w:sz w:val="24"/>
        </w:rPr>
        <w:t xml:space="preserve"> и ГОСТ 5.1459-72.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2.8. Сварные арматурные изделия должны соответствовать требованиям </w:t>
      </w:r>
      <w:hyperlink r:id="rId7" w:tooltip="ГОСТ 10922" w:history="1">
        <w:r>
          <w:rPr>
            <w:rStyle w:val="a3"/>
            <w:sz w:val="24"/>
          </w:rPr>
          <w:t>ГОСТ 10922</w:t>
        </w:r>
      </w:hyperlink>
      <w:r>
        <w:rPr>
          <w:sz w:val="24"/>
        </w:rPr>
        <w:t>-75.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2.9. Сварные соединения арматурных сеток следует производить контактной сваркой. Сварке подлежат все пересечения стержней.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2.10. Монтажные петли фундаментов должны изготовляться из горячекатаной гладкой арматурной стали класса А-</w:t>
      </w:r>
      <w:r>
        <w:rPr>
          <w:sz w:val="24"/>
          <w:lang w:val="en-US"/>
        </w:rPr>
        <w:t>I</w:t>
      </w:r>
      <w:r>
        <w:rPr>
          <w:sz w:val="24"/>
        </w:rPr>
        <w:t xml:space="preserve"> м</w:t>
      </w:r>
      <w:r>
        <w:rPr>
          <w:sz w:val="24"/>
          <w:lang w:val="en-US"/>
        </w:rPr>
        <w:t>ap</w:t>
      </w:r>
      <w:r>
        <w:rPr>
          <w:sz w:val="24"/>
        </w:rPr>
        <w:t>ок ВСт3сп2 и ВСт3пс2 или из арматурной стали периодического профиля класса Ас-</w:t>
      </w:r>
      <w:r>
        <w:rPr>
          <w:sz w:val="24"/>
          <w:lang w:val="en-US"/>
        </w:rPr>
        <w:t>II</w:t>
      </w:r>
      <w:r>
        <w:rPr>
          <w:sz w:val="24"/>
        </w:rPr>
        <w:t xml:space="preserve"> марки 10ГТ по </w:t>
      </w:r>
      <w:hyperlink r:id="rId8" w:tooltip="ГОСТ 5781-75" w:history="1">
        <w:r>
          <w:rPr>
            <w:rStyle w:val="a3"/>
            <w:sz w:val="24"/>
          </w:rPr>
          <w:t>ГОСТ 5781-75</w:t>
        </w:r>
      </w:hyperlink>
      <w:r>
        <w:rPr>
          <w:sz w:val="24"/>
        </w:rPr>
        <w:t>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Сталь марки ВСт3пс2 не допускается применять для изготовления монтажных петель, предназначенных для подъема и монтажа фундаментов при температуре ниже минус 40 °С.</w:t>
      </w:r>
    </w:p>
    <w:p w:rsidR="00C114A6" w:rsidRDefault="00C114A6">
      <w:pPr>
        <w:ind w:firstLine="284"/>
        <w:jc w:val="both"/>
        <w:rPr>
          <w:sz w:val="24"/>
        </w:rPr>
      </w:pPr>
      <w:bookmarkStart w:id="3" w:name="p211"/>
      <w:r>
        <w:rPr>
          <w:sz w:val="24"/>
        </w:rPr>
        <w:t xml:space="preserve">2.11. </w:t>
      </w:r>
      <w:bookmarkEnd w:id="3"/>
      <w:r>
        <w:rPr>
          <w:sz w:val="24"/>
        </w:rPr>
        <w:t xml:space="preserve">Поставка фундаментов потребителю должна производиться после достижения бетоном отпускной прочности, которая назначается и согласовывается в соответствии с </w:t>
      </w:r>
      <w:hyperlink r:id="rId9" w:tooltip="ГОСТ 13015" w:history="1">
        <w:r>
          <w:rPr>
            <w:rStyle w:val="a3"/>
            <w:sz w:val="24"/>
          </w:rPr>
          <w:t>ГОСТ 13015</w:t>
        </w:r>
      </w:hyperlink>
      <w:r>
        <w:rPr>
          <w:sz w:val="24"/>
        </w:rPr>
        <w:t>-75. При этом, величина отпускной прочности бетона должна быть не менее 60 % прочности, соответствующей его проектной марке по прочности на сжатие.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2.12. Проектное положение арматурных изделий и толщину защитного слоя бетона следует фиксировать прокладками из плотного цементно-песчаного раствора или пластмассовыми фиксаторами.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Применение стальных фиксаторов не допускается.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2.13. Отклонения фактических размеров и формы фундаментов от проектных не должны превышать, мм: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по длине и ширине ............. ±15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по высоте .................…….... ±10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2.14. Отклонения от проектных размеров стакана под колонну и выступов фундамента не должны превышать ±5 мм.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lastRenderedPageBreak/>
        <w:t>2.15. Отклонения от проектной толщины защитного слоя бетона до арматуры не должны превышать +10; -5 мм.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2.16. На поверхностях фундаментов не допускаются: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раковины диаметром более 15 мм и глубиной более 5 мм,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местные наплывы бетона и впадины высотой и глубиной более 5 мм;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околы бетона ребер глубиной более 10 мм общей длиной более 100 мм на 1 м ребра;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трещины, за исключением усадочных, шириной не более 0,1 мм;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обнажение арматуры.</w:t>
      </w:r>
    </w:p>
    <w:p w:rsidR="00C114A6" w:rsidRDefault="00C114A6">
      <w:pPr>
        <w:pStyle w:val="1"/>
      </w:pPr>
      <w:bookmarkStart w:id="4" w:name="_3._ПРАВИЛА_ПРИЕМКИ"/>
      <w:bookmarkEnd w:id="4"/>
      <w:r>
        <w:t>3. ПРАВИЛА ПРИЕМКИ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3.1. Фундаменты должны быть приняты техническим контролем предприятия-изготовителя.</w:t>
      </w:r>
    </w:p>
    <w:p w:rsidR="00C114A6" w:rsidRDefault="00C114A6">
      <w:pPr>
        <w:pStyle w:val="BodyText2"/>
        <w:spacing w:before="0"/>
        <w:ind w:firstLine="284"/>
      </w:pPr>
      <w:r>
        <w:t>3.2. Приемка фундаментов должна производиться партиями. В состав партии входят фундаменты, изготовленные предприятием в течение не более одних суток по одной технологии из материалов одного вида и качества.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Объем партии устанавливается по соглашению предприятия-изготовителя с потребителем, но не более 200 шт.</w:t>
      </w:r>
    </w:p>
    <w:p w:rsidR="00C114A6" w:rsidRDefault="00C114A6">
      <w:pPr>
        <w:pStyle w:val="a7"/>
      </w:pPr>
      <w:bookmarkStart w:id="5" w:name="p33"/>
      <w:r>
        <w:t xml:space="preserve">3.3. </w:t>
      </w:r>
      <w:bookmarkEnd w:id="5"/>
      <w:r>
        <w:t xml:space="preserve">Проверку размеров, положения монтажных петель, толщины защитного слоя бетона, расположения арматуры, качества поверхностей фундаментов проводят для каждой партии фундаментов методом двухступенчатого контроля в соответствии с </w:t>
      </w:r>
      <w:hyperlink w:anchor="t2" w:tooltip="таблица 2" w:history="1">
        <w:r>
          <w:rPr>
            <w:rStyle w:val="a3"/>
          </w:rPr>
          <w:t>табл. 2</w:t>
        </w:r>
      </w:hyperlink>
      <w:r>
        <w:t>.</w:t>
      </w:r>
    </w:p>
    <w:p w:rsidR="00C114A6" w:rsidRDefault="00C114A6">
      <w:pPr>
        <w:pStyle w:val="BodyText2"/>
        <w:spacing w:after="120"/>
        <w:jc w:val="right"/>
      </w:pPr>
      <w:bookmarkStart w:id="6" w:name="t2"/>
      <w:r>
        <w:t>Таблица 2</w:t>
      </w:r>
      <w:bookmarkEnd w:id="6"/>
    </w:p>
    <w:tbl>
      <w:tblPr>
        <w:tblW w:w="5000" w:type="pct"/>
        <w:jc w:val="center"/>
        <w:tblCellMar>
          <w:left w:w="36" w:type="dxa"/>
          <w:right w:w="36" w:type="dxa"/>
        </w:tblCellMar>
        <w:tblLook w:val="0000"/>
      </w:tblPr>
      <w:tblGrid>
        <w:gridCol w:w="3392"/>
        <w:gridCol w:w="2368"/>
        <w:gridCol w:w="931"/>
        <w:gridCol w:w="1196"/>
        <w:gridCol w:w="1256"/>
      </w:tblGrid>
      <w:tr w:rsidR="00C114A6">
        <w:trPr>
          <w:jc w:val="center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Объем партии, шт.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Выборка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выборки,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Приемочное число,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Браковочное число, шт.</w:t>
            </w:r>
          </w:p>
        </w:tc>
      </w:tr>
      <w:tr w:rsidR="00C114A6">
        <w:trPr>
          <w:jc w:val="center"/>
        </w:trPr>
        <w:tc>
          <w:tcPr>
            <w:tcW w:w="20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jc w:val="both"/>
            </w:pPr>
            <w:r>
              <w:t>До 25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both"/>
            </w:pPr>
            <w:r>
              <w:t>Первая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2</w:t>
            </w:r>
          </w:p>
        </w:tc>
      </w:tr>
      <w:tr w:rsidR="00C114A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both"/>
            </w:pPr>
            <w:r>
              <w:t>Вторая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2</w:t>
            </w:r>
          </w:p>
        </w:tc>
      </w:tr>
      <w:tr w:rsidR="00C114A6">
        <w:trPr>
          <w:jc w:val="center"/>
        </w:trPr>
        <w:tc>
          <w:tcPr>
            <w:tcW w:w="20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jc w:val="both"/>
            </w:pPr>
            <w:r>
              <w:t>От 26 до 90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both"/>
            </w:pPr>
            <w:r>
              <w:t>Первая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3</w:t>
            </w:r>
          </w:p>
        </w:tc>
      </w:tr>
      <w:tr w:rsidR="00C114A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both"/>
            </w:pPr>
            <w:r>
              <w:t>Вторая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4</w:t>
            </w:r>
          </w:p>
        </w:tc>
      </w:tr>
      <w:tr w:rsidR="00C114A6">
        <w:trPr>
          <w:jc w:val="center"/>
        </w:trPr>
        <w:tc>
          <w:tcPr>
            <w:tcW w:w="20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both"/>
            </w:pPr>
            <w:r>
              <w:t>Св. 90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both"/>
            </w:pPr>
            <w:r>
              <w:t>Первая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4</w:t>
            </w:r>
          </w:p>
        </w:tc>
      </w:tr>
      <w:tr w:rsidR="00C114A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A6" w:rsidRDefault="00C114A6">
            <w:pPr>
              <w:overflowPunct/>
              <w:autoSpaceDE/>
              <w:autoSpaceDN/>
              <w:adjustRightInd/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both"/>
            </w:pPr>
            <w:r>
              <w:t>Вторая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A6" w:rsidRDefault="00C114A6">
            <w:pPr>
              <w:jc w:val="center"/>
            </w:pPr>
            <w:r>
              <w:t>5</w:t>
            </w:r>
          </w:p>
        </w:tc>
      </w:tr>
    </w:tbl>
    <w:p w:rsidR="00C114A6" w:rsidRDefault="00C114A6">
      <w:pPr>
        <w:pStyle w:val="BodyText2"/>
        <w:ind w:firstLine="284"/>
      </w:pPr>
      <w:r>
        <w:t>3.4. Партию фундаментов принимают, если количество дефектных* фундаментов в первой выборке меньше или равно приемочному числу.</w:t>
      </w:r>
    </w:p>
    <w:p w:rsidR="00C114A6" w:rsidRDefault="00C114A6">
      <w:pPr>
        <w:jc w:val="both"/>
        <w:rPr>
          <w:sz w:val="24"/>
        </w:rPr>
      </w:pPr>
      <w:r>
        <w:rPr>
          <w:sz w:val="24"/>
        </w:rPr>
        <w:t>____________</w:t>
      </w:r>
    </w:p>
    <w:p w:rsidR="00C114A6" w:rsidRDefault="00C114A6">
      <w:pPr>
        <w:pStyle w:val="BodyTextIndent2"/>
        <w:ind w:firstLine="284"/>
      </w:pPr>
      <w:r>
        <w:t>* Фундамент следует считать дефектным, если он не удовлетворяет хотя бы одному из требований настоящего стандарта.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Если количество дефектных фундаментов в первой выборке больше приемочного числа, но меньше браковочного, производят вторую выборку. Партию фундаментов принимают, если количество дефектных фундаментов в двух выборках меньше или равно приемочному числу второй выборки. Если количество дефектных фундаментов в двух выборках больше или равно браковочному числу второй выборки, то все фундаменты в партии проверяют поштучно. При этом фундаменты, не удовлетворяющие заданным требованиям, бракуют.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3.5. Оценку качества фундаментов проверяемой партии по результатам осмотра и измерений отобранных образцов производят в соответствии с требованиями </w:t>
      </w:r>
      <w:hyperlink r:id="rId10" w:tooltip="ГОСТ 13015" w:history="1">
        <w:r>
          <w:rPr>
            <w:rStyle w:val="a3"/>
            <w:sz w:val="24"/>
          </w:rPr>
          <w:t>ГОСТ 13015</w:t>
        </w:r>
      </w:hyperlink>
      <w:r>
        <w:rPr>
          <w:sz w:val="24"/>
        </w:rPr>
        <w:t>-75 и настоящего стандарта.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3.6. Оценки проектной марки бетона по прочности на сжатие следует производить по </w:t>
      </w:r>
      <w:hyperlink r:id="rId11" w:tooltip="ГОСТ 18105" w:history="1">
        <w:r>
          <w:rPr>
            <w:rStyle w:val="a3"/>
            <w:sz w:val="24"/>
          </w:rPr>
          <w:t>ГОСТ 18105</w:t>
        </w:r>
      </w:hyperlink>
      <w:r>
        <w:rPr>
          <w:sz w:val="24"/>
        </w:rPr>
        <w:t>-72 или ГОСТ 21217-75 с учетом однородности прочности бетона.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3.7. В случаях, если при проверке установлено, что отпускная прочность бетона фундаментов не удовлетворяет требованию, указанному в </w:t>
      </w:r>
      <w:hyperlink w:anchor="p211" w:tooltip="п. 2.11" w:history="1">
        <w:r>
          <w:rPr>
            <w:rStyle w:val="a3"/>
            <w:sz w:val="24"/>
          </w:rPr>
          <w:t>п. 2.11</w:t>
        </w:r>
      </w:hyperlink>
      <w:r>
        <w:rPr>
          <w:sz w:val="24"/>
        </w:rPr>
        <w:t xml:space="preserve"> настоящего стандарта, </w:t>
      </w:r>
      <w:r>
        <w:rPr>
          <w:sz w:val="24"/>
        </w:rPr>
        <w:lastRenderedPageBreak/>
        <w:t>приемка фундаментов не должна производиться до достижения бетоном отпускной прочности.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3.8. Испытание бетона на морозостойкость, водонепроницаемость и водопоглощение следует проводить при освоении производства фундаментов и изменении вида и качества материалов, применяемых для приготовления бетона. Кроме того, следует проводить периодические испытания не реже: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на морозостойкость - одного раза в шесть месяцев;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на водонепроницаемость и водопоглощение - одного раза в три месяца.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3.9. Показатели физико-механических свойств бетона и другие показатели, которые не могут быть проверены на готовых фундаментах, следует определять по журналам операционного контроля или путем контроля и испытаний в соответствии с требованиями, приведенными в </w:t>
      </w:r>
      <w:hyperlink w:anchor="_4._МЕТОДЫ_КОНТРОЛЯ" w:tooltip="раздел 4" w:history="1">
        <w:r>
          <w:rPr>
            <w:rStyle w:val="a3"/>
            <w:sz w:val="24"/>
          </w:rPr>
          <w:t>разд. 4</w:t>
        </w:r>
      </w:hyperlink>
      <w:r>
        <w:rPr>
          <w:sz w:val="24"/>
        </w:rPr>
        <w:t xml:space="preserve"> настоящего стандарта.</w:t>
      </w:r>
    </w:p>
    <w:p w:rsidR="00C114A6" w:rsidRDefault="00C114A6">
      <w:pPr>
        <w:pStyle w:val="a7"/>
      </w:pPr>
      <w:r>
        <w:t xml:space="preserve">3.10. Потребитель имеет право проводить выборочный контроль фундаментов по показателям, указанным в </w:t>
      </w:r>
      <w:hyperlink w:anchor="p33" w:tooltip="п. 3.3" w:history="1">
        <w:r>
          <w:rPr>
            <w:rStyle w:val="a3"/>
          </w:rPr>
          <w:t>п. 3.3</w:t>
        </w:r>
      </w:hyperlink>
      <w:r>
        <w:t>, соблюдая при этом правила, установленные настоящим стандартом. Остальные показатели качества потребитель имеет право проверять по данным журналов ОТК и заводской лаборатории.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По требованию потребителя завод-изготовитель обязан сообщить ему результаты лабораторных испытаний в месячный срок после их окончания.</w:t>
      </w:r>
    </w:p>
    <w:p w:rsidR="00C114A6" w:rsidRDefault="00C114A6">
      <w:pPr>
        <w:pStyle w:val="1"/>
      </w:pPr>
      <w:bookmarkStart w:id="7" w:name="_4._МЕТОДЫ_КОНТРОЛЯ"/>
      <w:bookmarkEnd w:id="7"/>
      <w:r>
        <w:t xml:space="preserve">4. МЕТОДЫ КОНТРОЛЯ И ИСПЫТАНИЙ 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4.1. Прочность бетона на сжатие следует определять по </w:t>
      </w:r>
      <w:hyperlink r:id="rId12" w:tooltip="ГОСТ 10180" w:history="1">
        <w:r>
          <w:rPr>
            <w:rStyle w:val="a3"/>
            <w:sz w:val="24"/>
          </w:rPr>
          <w:t>ГОСТ 10180</w:t>
        </w:r>
      </w:hyperlink>
      <w:r>
        <w:rPr>
          <w:sz w:val="24"/>
        </w:rPr>
        <w:t>-78.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Отпускную прочность бетона следует определять неразрушающими методами по </w:t>
      </w:r>
      <w:hyperlink r:id="rId13" w:tooltip="ГОСТ 17624" w:history="1">
        <w:r>
          <w:rPr>
            <w:rStyle w:val="a3"/>
            <w:sz w:val="24"/>
          </w:rPr>
          <w:t>ГОСТ 17624</w:t>
        </w:r>
      </w:hyperlink>
      <w:r>
        <w:rPr>
          <w:sz w:val="24"/>
        </w:rPr>
        <w:t>-78, ГОСТ 21243-75, ГОСТ 22690.0-77 - ГОСТ 22690.4-77.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4.2. Морозостойкость бетона следует определять по ГОСТ 10060-76.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4.3. Водонепроницаемость бетона (при необходимости) следует определять по величине коэффициента фильтрации </w:t>
      </w:r>
      <w:r>
        <w:rPr>
          <w:i/>
          <w:sz w:val="24"/>
        </w:rPr>
        <w:t>К</w:t>
      </w:r>
      <w:r>
        <w:rPr>
          <w:i/>
          <w:sz w:val="24"/>
          <w:vertAlign w:val="subscript"/>
        </w:rPr>
        <w:t>ф</w:t>
      </w:r>
      <w:r>
        <w:rPr>
          <w:sz w:val="24"/>
        </w:rPr>
        <w:t xml:space="preserve"> согласно ГОСТ 19426-74.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Величины коэффициента фильтрации </w:t>
      </w:r>
      <w:r>
        <w:rPr>
          <w:i/>
          <w:sz w:val="24"/>
        </w:rPr>
        <w:t>К</w:t>
      </w:r>
      <w:r>
        <w:rPr>
          <w:i/>
          <w:sz w:val="24"/>
          <w:vertAlign w:val="subscript"/>
        </w:rPr>
        <w:t>ф</w:t>
      </w:r>
      <w:r>
        <w:rPr>
          <w:sz w:val="24"/>
        </w:rPr>
        <w:t xml:space="preserve">, соответствующие маркам бетона по водонепроницаемости, следует принимать по главе СНиП </w:t>
      </w:r>
      <w:r>
        <w:rPr>
          <w:sz w:val="24"/>
          <w:lang w:val="en-US"/>
        </w:rPr>
        <w:t>II</w:t>
      </w:r>
      <w:r>
        <w:rPr>
          <w:sz w:val="24"/>
        </w:rPr>
        <w:t>-21-75.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При отсутствии соответствующего оборудования допускается определять марку бетона по водонепроницаемости по ГОСТ 12730.0-78 и </w:t>
      </w:r>
      <w:hyperlink r:id="rId14" w:tooltip="ГОСТ 12730.5-78" w:history="1">
        <w:r>
          <w:rPr>
            <w:rStyle w:val="a3"/>
            <w:sz w:val="24"/>
          </w:rPr>
          <w:t>ГОСТ 12730.5-78</w:t>
        </w:r>
      </w:hyperlink>
      <w:r>
        <w:rPr>
          <w:sz w:val="24"/>
        </w:rPr>
        <w:t>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4.4. Водопоглощение бетона фундаментов, предназначенных для применения в условиях воздействия агрессивной среды, следует определять по ГОСТ 12730.0-78 и </w:t>
      </w:r>
      <w:hyperlink r:id="rId15" w:tooltip="ГОСТ 12730.3-78" w:history="1">
        <w:r>
          <w:rPr>
            <w:rStyle w:val="a3"/>
            <w:sz w:val="24"/>
          </w:rPr>
          <w:t>ГОСТ 12730.3-78</w:t>
        </w:r>
      </w:hyperlink>
      <w:r>
        <w:rPr>
          <w:sz w:val="24"/>
        </w:rPr>
        <w:t>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4.5. Методы контроля и испытаний арматурных и закладных изделий - по </w:t>
      </w:r>
      <w:hyperlink r:id="rId16" w:tooltip="ГОСТ 10922" w:history="1">
        <w:r>
          <w:rPr>
            <w:rStyle w:val="a3"/>
            <w:sz w:val="24"/>
          </w:rPr>
          <w:t>ГОСТ 10922</w:t>
        </w:r>
      </w:hyperlink>
      <w:r>
        <w:rPr>
          <w:sz w:val="24"/>
        </w:rPr>
        <w:t>-75.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4.6. Плотность (объемную массу) бетона следует определять по </w:t>
      </w:r>
      <w:hyperlink r:id="rId17" w:tooltip="ГОСТ 12730.1-78" w:history="1">
        <w:r>
          <w:rPr>
            <w:rStyle w:val="a3"/>
            <w:sz w:val="24"/>
          </w:rPr>
          <w:t>ГОСТ 12730.1-78</w:t>
        </w:r>
      </w:hyperlink>
      <w:r>
        <w:rPr>
          <w:sz w:val="24"/>
        </w:rPr>
        <w:t>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Допускается определять плотность (объемную массу) по </w:t>
      </w:r>
      <w:hyperlink r:id="rId18" w:tooltip="ГОСТ 17623" w:history="1">
        <w:r>
          <w:rPr>
            <w:rStyle w:val="a3"/>
            <w:sz w:val="24"/>
          </w:rPr>
          <w:t>ГОСТ 17623</w:t>
        </w:r>
      </w:hyperlink>
      <w:r>
        <w:rPr>
          <w:sz w:val="24"/>
        </w:rPr>
        <w:t>-78.</w:t>
      </w:r>
    </w:p>
    <w:p w:rsidR="00C114A6" w:rsidRDefault="00C114A6">
      <w:pPr>
        <w:pStyle w:val="a7"/>
      </w:pPr>
      <w:r>
        <w:t xml:space="preserve">4.7. Толщину защитного слоя и положение арматуры в бетоне фундаментов следует определять неразрушающими методами по </w:t>
      </w:r>
      <w:hyperlink r:id="rId19" w:tooltip="ГОСТ 17625" w:history="1">
        <w:r>
          <w:rPr>
            <w:rStyle w:val="a3"/>
          </w:rPr>
          <w:t>ГОСТ 17625</w:t>
        </w:r>
      </w:hyperlink>
      <w:r>
        <w:t xml:space="preserve">-72 или </w:t>
      </w:r>
      <w:hyperlink r:id="rId20" w:tooltip="ГОСТ 22904" w:history="1">
        <w:r>
          <w:rPr>
            <w:rStyle w:val="a3"/>
          </w:rPr>
          <w:t>ГОСТ 22904</w:t>
        </w:r>
      </w:hyperlink>
      <w:r>
        <w:t>-78.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При отсутствии необходимых приборов допускается вырубка борозд и обнажение арматуры фундамента с последующей заделкой борозд.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4.8. Размеры, непрямолинейность, качество поверхностей и внешний вид фундаментов, положение монтажных петель, толщину защитного слоя бетона до арматуры проверяют в соответствии с </w:t>
      </w:r>
      <w:hyperlink r:id="rId21" w:tooltip="ГОСТ 13015" w:history="1">
        <w:r>
          <w:rPr>
            <w:rStyle w:val="a3"/>
            <w:sz w:val="24"/>
          </w:rPr>
          <w:t>ГОСТ 13015</w:t>
        </w:r>
      </w:hyperlink>
      <w:r>
        <w:rPr>
          <w:sz w:val="24"/>
        </w:rPr>
        <w:t>-75 и настоящим стандартом.</w:t>
      </w:r>
    </w:p>
    <w:p w:rsidR="00C114A6" w:rsidRDefault="00C114A6">
      <w:pPr>
        <w:pStyle w:val="1"/>
      </w:pPr>
      <w:bookmarkStart w:id="8" w:name="_5._МАРКИРОВКА,_ХРАНЕНИЕ"/>
      <w:bookmarkEnd w:id="8"/>
      <w:r>
        <w:t>5. МАРКИРОВКА, ХРАНЕНИЕ И ТРАНСПОРТИРОВАНИЕ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5.1. На боковой грани фундамента должны быть нанесены несмываемой краской следующие маркировочные знаки: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товарный знак предприятия-изготовителя или его краткое наименование;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марка фундамента;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дата изготовления;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lastRenderedPageBreak/>
        <w:t>штамп отдела технического контроля;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масса фундамента в т.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5.2. Хранение и транспортирование фундаментов следует производить в рабочем положении.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5.3. Фундаменты должны храниться в штабелях рассортированными по маркам и партиям. Высота штабеля фундаментов не должна превышать двух рядов.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5.4. При хранении каждый фундамент должен укладываться на деревянные инвентарные прокладки и подкладки. Толщина прокладок должна быть не менее 80 мм, подкладок - не менее 30 мм. Прокладки в штабеле должны располагаться по одной вертикали.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Подкладки под нижний ряд фундаментов следует укладывать по плотному, тщательно выровненному основанию.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5.5. При погрузке, транспортировании, разгрузке и хранении фундаментов должны соблюдаться меры, исключающие возможность их повреждения.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5.6. Транспортировка фундаментов должна производиться в один ряд с надежным закреплением изделий, предохраняющим их от смещения во время перевозки.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5.7. Каждая партия фундаментов должна сопровождаться документом установленной формы, в котором должны быть указаны: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наименование и адрес предприятия-изготовителя;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номер и дата выдачи документа;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номер партии;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марки фундаментов;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 xml:space="preserve">количество фундаментов в партии; 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проектная марка бетона по прочности на сжатие;</w:t>
      </w:r>
    </w:p>
    <w:p w:rsidR="00C114A6" w:rsidRDefault="00C114A6">
      <w:pPr>
        <w:pStyle w:val="a7"/>
      </w:pPr>
      <w:r>
        <w:t>отпускная прочность бетона в процентах от проектной марки по прочности на сжатие;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марка бетона по морозостойкости и водонепроницаемости;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водопоглощение бетона в процентах по весу;</w:t>
      </w:r>
    </w:p>
    <w:p w:rsidR="00C114A6" w:rsidRDefault="00C114A6">
      <w:pPr>
        <w:ind w:firstLine="284"/>
        <w:jc w:val="both"/>
        <w:rPr>
          <w:sz w:val="24"/>
        </w:rPr>
      </w:pPr>
      <w:r>
        <w:rPr>
          <w:sz w:val="24"/>
        </w:rPr>
        <w:t>обозначение настоящего стандарта.</w:t>
      </w:r>
    </w:p>
    <w:p w:rsidR="00C114A6" w:rsidRDefault="00C114A6">
      <w:pPr>
        <w:pStyle w:val="1"/>
      </w:pPr>
      <w:bookmarkStart w:id="9" w:name="_6._ГАРАНТИИ_ИЗГОТОВИТЕЛЯ"/>
      <w:bookmarkEnd w:id="9"/>
      <w:r>
        <w:t>6. ГАРАНТИИ ИЗГОТОВИТЕЛЯ</w:t>
      </w:r>
    </w:p>
    <w:p w:rsidR="00C114A6" w:rsidRDefault="00C114A6">
      <w:pPr>
        <w:pStyle w:val="BodyText2"/>
        <w:spacing w:before="0" w:after="120"/>
        <w:ind w:firstLine="284"/>
      </w:pPr>
      <w:r>
        <w:t>6.1. Изготовитель должен гарантировать соответствие поставляемых фундаментов требованиям настоящего стандарта при соблюдении потребителем правил транспортирования, условий применения и хранения фундаментов, установленных стандартом.</w:t>
      </w:r>
    </w:p>
    <w:p w:rsidR="00C114A6" w:rsidRDefault="00445830">
      <w:pPr>
        <w:spacing w:before="120"/>
        <w:jc w:val="center"/>
        <w:rPr>
          <w:sz w:val="24"/>
          <w:lang w:val="en-US"/>
        </w:rPr>
      </w:pPr>
      <w:bookmarkStart w:id="10" w:name="PRIL"/>
      <w:r w:rsidRPr="00445830">
        <w:rPr>
          <w:lang w:val="en-US"/>
        </w:rPr>
        <w:lastRenderedPageBreak/>
        <w:pict>
          <v:shape id="_x0000_i1026" type="#_x0000_t75" style="width:417.75pt;height:610.5pt">
            <v:imagedata r:id="rId22" o:title=""/>
          </v:shape>
        </w:pict>
      </w:r>
      <w:bookmarkEnd w:id="10"/>
    </w:p>
    <w:p w:rsidR="00C114A6" w:rsidRDefault="00445830">
      <w:pPr>
        <w:spacing w:before="120"/>
        <w:jc w:val="center"/>
        <w:rPr>
          <w:sz w:val="24"/>
          <w:lang w:val="en-US"/>
        </w:rPr>
      </w:pPr>
      <w:r w:rsidRPr="00445830">
        <w:rPr>
          <w:lang w:val="en-US"/>
        </w:rPr>
        <w:lastRenderedPageBreak/>
        <w:pict>
          <v:shape id="_x0000_i1027" type="#_x0000_t75" style="width:412.5pt;height:597.75pt">
            <v:imagedata r:id="rId23" o:title=""/>
          </v:shape>
        </w:pict>
      </w:r>
    </w:p>
    <w:p w:rsidR="00C114A6" w:rsidRDefault="00445830">
      <w:pPr>
        <w:spacing w:before="120"/>
        <w:jc w:val="center"/>
        <w:rPr>
          <w:sz w:val="24"/>
          <w:lang w:val="en-US"/>
        </w:rPr>
      </w:pPr>
      <w:r w:rsidRPr="00445830">
        <w:rPr>
          <w:lang w:val="en-US"/>
        </w:rPr>
        <w:lastRenderedPageBreak/>
        <w:pict>
          <v:shape id="_x0000_i1028" type="#_x0000_t75" style="width:409.5pt;height:596.25pt">
            <v:imagedata r:id="rId24" o:title=""/>
          </v:shape>
        </w:pict>
      </w:r>
    </w:p>
    <w:p w:rsidR="00C114A6" w:rsidRDefault="00445830">
      <w:pPr>
        <w:spacing w:before="120"/>
        <w:jc w:val="center"/>
        <w:rPr>
          <w:sz w:val="24"/>
          <w:lang w:val="en-US"/>
        </w:rPr>
      </w:pPr>
      <w:r w:rsidRPr="00445830">
        <w:rPr>
          <w:lang w:val="en-US"/>
        </w:rPr>
        <w:lastRenderedPageBreak/>
        <w:pict>
          <v:shape id="_x0000_i1029" type="#_x0000_t75" style="width:406.5pt;height:593.25pt">
            <v:imagedata r:id="rId25" o:title=""/>
          </v:shape>
        </w:pict>
      </w:r>
    </w:p>
    <w:p w:rsidR="00C114A6" w:rsidRDefault="00445830">
      <w:pPr>
        <w:spacing w:before="120"/>
        <w:jc w:val="center"/>
        <w:rPr>
          <w:sz w:val="24"/>
          <w:lang w:val="en-US"/>
        </w:rPr>
      </w:pPr>
      <w:r w:rsidRPr="00445830">
        <w:rPr>
          <w:lang w:val="en-US"/>
        </w:rPr>
        <w:lastRenderedPageBreak/>
        <w:pict>
          <v:shape id="_x0000_i1030" type="#_x0000_t75" style="width:381.75pt;height:552pt">
            <v:imagedata r:id="rId26" o:title=""/>
          </v:shape>
        </w:pict>
      </w:r>
    </w:p>
    <w:p w:rsidR="00C114A6" w:rsidRDefault="00445830">
      <w:pPr>
        <w:spacing w:before="120"/>
        <w:jc w:val="center"/>
        <w:rPr>
          <w:sz w:val="24"/>
          <w:lang w:val="en-US"/>
        </w:rPr>
      </w:pPr>
      <w:r w:rsidRPr="00445830">
        <w:rPr>
          <w:lang w:val="en-US"/>
        </w:rPr>
        <w:lastRenderedPageBreak/>
        <w:pict>
          <v:shape id="_x0000_i1031" type="#_x0000_t75" style="width:381.75pt;height:551.25pt">
            <v:imagedata r:id="rId27" o:title=""/>
          </v:shape>
        </w:pict>
      </w:r>
    </w:p>
    <w:p w:rsidR="00C114A6" w:rsidRDefault="00445830">
      <w:pPr>
        <w:spacing w:before="120"/>
        <w:jc w:val="center"/>
        <w:rPr>
          <w:sz w:val="24"/>
          <w:lang w:val="en-US"/>
        </w:rPr>
      </w:pPr>
      <w:r w:rsidRPr="00445830">
        <w:rPr>
          <w:lang w:val="en-US"/>
        </w:rPr>
        <w:lastRenderedPageBreak/>
        <w:pict>
          <v:shape id="_x0000_i1032" type="#_x0000_t75" style="width:381.75pt;height:558pt">
            <v:imagedata r:id="rId28" o:title=""/>
          </v:shape>
        </w:pict>
      </w:r>
    </w:p>
    <w:p w:rsidR="00C114A6" w:rsidRDefault="00445830">
      <w:pPr>
        <w:spacing w:before="120"/>
        <w:jc w:val="center"/>
        <w:rPr>
          <w:sz w:val="24"/>
          <w:lang w:val="en-US"/>
        </w:rPr>
      </w:pPr>
      <w:r w:rsidRPr="00445830">
        <w:rPr>
          <w:lang w:val="en-US"/>
        </w:rPr>
        <w:lastRenderedPageBreak/>
        <w:pict>
          <v:shape id="_x0000_i1033" type="#_x0000_t75" style="width:448.5pt;height:633.75pt">
            <v:imagedata r:id="rId29" o:title=""/>
          </v:shape>
        </w:pict>
      </w:r>
    </w:p>
    <w:sectPr w:rsidR="00C114A6"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A69"/>
    <w:rsid w:val="00445830"/>
    <w:rsid w:val="00463A69"/>
    <w:rsid w:val="00A86772"/>
    <w:rsid w:val="00C1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120" w:after="120"/>
      <w:ind w:firstLine="567"/>
      <w:jc w:val="right"/>
      <w:outlineLvl w:val="3"/>
    </w:pPr>
    <w:rPr>
      <w:spacing w:val="40"/>
      <w:sz w:val="24"/>
    </w:rPr>
  </w:style>
  <w:style w:type="paragraph" w:styleId="5">
    <w:name w:val="heading 5"/>
    <w:basedOn w:val="a"/>
    <w:next w:val="a"/>
    <w:qFormat/>
    <w:pPr>
      <w:keepNext/>
      <w:spacing w:before="120" w:after="120"/>
      <w:jc w:val="center"/>
      <w:outlineLvl w:val="4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caption"/>
    <w:basedOn w:val="a"/>
    <w:next w:val="a"/>
    <w:qFormat/>
    <w:pPr>
      <w:pBdr>
        <w:bottom w:val="single" w:sz="6" w:space="1" w:color="auto"/>
      </w:pBdr>
      <w:jc w:val="center"/>
    </w:pPr>
    <w:rPr>
      <w:b/>
      <w:sz w:val="24"/>
    </w:rPr>
  </w:style>
  <w:style w:type="paragraph" w:styleId="a6">
    <w:name w:val="Body Text"/>
    <w:basedOn w:val="a"/>
    <w:pPr>
      <w:spacing w:before="240"/>
      <w:jc w:val="center"/>
    </w:pPr>
    <w:rPr>
      <w:b/>
      <w:sz w:val="24"/>
    </w:rPr>
  </w:style>
  <w:style w:type="paragraph" w:styleId="a7">
    <w:name w:val="Body Text Indent"/>
    <w:basedOn w:val="a"/>
    <w:pPr>
      <w:ind w:firstLine="284"/>
      <w:jc w:val="both"/>
    </w:pPr>
    <w:rPr>
      <w:sz w:val="24"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BodyText2">
    <w:name w:val="Body Text 2"/>
    <w:basedOn w:val="a"/>
    <w:pPr>
      <w:spacing w:before="120"/>
      <w:ind w:firstLine="567"/>
      <w:jc w:val="both"/>
    </w:pPr>
    <w:rPr>
      <w:sz w:val="24"/>
    </w:rPr>
  </w:style>
  <w:style w:type="paragraph" w:customStyle="1" w:styleId="BodyText3">
    <w:name w:val="Body Text 3"/>
    <w:basedOn w:val="a"/>
    <w:pPr>
      <w:jc w:val="both"/>
    </w:pPr>
    <w:rPr>
      <w:sz w:val="24"/>
    </w:rPr>
  </w:style>
  <w:style w:type="paragraph" w:customStyle="1" w:styleId="BodyTextIndent2">
    <w:name w:val="Body Text Indent 2"/>
    <w:basedOn w:val="a"/>
    <w:pPr>
      <w:spacing w:after="120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\Rar$DI00.015\2820.htm" TargetMode="External"/><Relationship Id="rId13" Type="http://schemas.openxmlformats.org/officeDocument/2006/relationships/hyperlink" Target="file:///C:\Documents%20and%20Settings\User\Local%20Settings\Temp\Rar$DI00.015\2471.htm" TargetMode="External"/><Relationship Id="rId18" Type="http://schemas.openxmlformats.org/officeDocument/2006/relationships/hyperlink" Target="file:///C:\Documents%20and%20Settings\User\Local%20Settings\Temp\Rar$DI00.015\2470.htm" TargetMode="External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User\Local%20Settings\Temp\Rar$DI00.015\40994.htm" TargetMode="External"/><Relationship Id="rId7" Type="http://schemas.openxmlformats.org/officeDocument/2006/relationships/hyperlink" Target="file:///C:\Documents%20and%20Settings\User\Local%20Settings\Temp\Rar$DI00.015\2191.htm" TargetMode="External"/><Relationship Id="rId12" Type="http://schemas.openxmlformats.org/officeDocument/2006/relationships/hyperlink" Target="file:///C:\Documents%20and%20Settings\User\Local%20Settings\Temp\Rar$DI00.015\2454.htm" TargetMode="External"/><Relationship Id="rId17" Type="http://schemas.openxmlformats.org/officeDocument/2006/relationships/hyperlink" Target="file:///C:\Documents%20and%20Settings\User\Local%20Settings\Temp\Rar$DI00.015\2461.htm" TargetMode="External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ser\Local%20Settings\Temp\Rar$DI00.015\2191.htm" TargetMode="External"/><Relationship Id="rId20" Type="http://schemas.openxmlformats.org/officeDocument/2006/relationships/hyperlink" Target="file:///C:\Documents%20and%20Settings\User\Local%20Settings\Temp\Rar$DI00.015\2244.htm" TargetMode="External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Local%20Settings\Temp\Rar$DI00.015\2820.htm" TargetMode="External"/><Relationship Id="rId11" Type="http://schemas.openxmlformats.org/officeDocument/2006/relationships/hyperlink" Target="file:///C:\Documents%20and%20Settings\User\Local%20Settings\Temp\Rar$DI00.015\2472.htm" TargetMode="External"/><Relationship Id="rId24" Type="http://schemas.openxmlformats.org/officeDocument/2006/relationships/image" Target="media/image4.png"/><Relationship Id="rId5" Type="http://schemas.openxmlformats.org/officeDocument/2006/relationships/hyperlink" Target="file:///C:\Documents%20and%20Settings\User\Local%20Settings\Temp\Rar$DI00.015\2246.htm" TargetMode="External"/><Relationship Id="rId15" Type="http://schemas.openxmlformats.org/officeDocument/2006/relationships/hyperlink" Target="file:///C:\Documents%20and%20Settings\User\Local%20Settings\Temp\Rar$DI00.015\2463.htm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hyperlink" Target="file:///C:\Documents%20and%20Settings\User\Local%20Settings\Temp\Rar$DI00.015\40994.htm" TargetMode="External"/><Relationship Id="rId19" Type="http://schemas.openxmlformats.org/officeDocument/2006/relationships/hyperlink" Target="file:///C:\Documents%20and%20Settings\User\Local%20Settings\Temp\Rar$DI00.015\2210.ht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User\Local%20Settings\Temp\Rar$DI00.015\40994.htm" TargetMode="External"/><Relationship Id="rId14" Type="http://schemas.openxmlformats.org/officeDocument/2006/relationships/hyperlink" Target="file:///C:\Documents%20and%20Settings\User\Local%20Settings\Temp\Rar$DI00.015\2465.htm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24022-80</vt:lpstr>
    </vt:vector>
  </TitlesOfParts>
  <Company>http://www.worldofauto.ru/</Company>
  <LinksUpToDate>false</LinksUpToDate>
  <CharactersWithSpaces>16210</CharactersWithSpaces>
  <SharedDoc>false</SharedDoc>
  <HLinks>
    <vt:vector size="186" baseType="variant">
      <vt:variant>
        <vt:i4>5439569</vt:i4>
      </vt:variant>
      <vt:variant>
        <vt:i4>90</vt:i4>
      </vt:variant>
      <vt:variant>
        <vt:i4>0</vt:i4>
      </vt:variant>
      <vt:variant>
        <vt:i4>5</vt:i4>
      </vt:variant>
      <vt:variant>
        <vt:lpwstr>40994.htm</vt:lpwstr>
      </vt:variant>
      <vt:variant>
        <vt:lpwstr/>
      </vt:variant>
      <vt:variant>
        <vt:i4>196700</vt:i4>
      </vt:variant>
      <vt:variant>
        <vt:i4>87</vt:i4>
      </vt:variant>
      <vt:variant>
        <vt:i4>0</vt:i4>
      </vt:variant>
      <vt:variant>
        <vt:i4>5</vt:i4>
      </vt:variant>
      <vt:variant>
        <vt:lpwstr>2244.htm</vt:lpwstr>
      </vt:variant>
      <vt:variant>
        <vt:lpwstr/>
      </vt:variant>
      <vt:variant>
        <vt:i4>458841</vt:i4>
      </vt:variant>
      <vt:variant>
        <vt:i4>84</vt:i4>
      </vt:variant>
      <vt:variant>
        <vt:i4>0</vt:i4>
      </vt:variant>
      <vt:variant>
        <vt:i4>5</vt:i4>
      </vt:variant>
      <vt:variant>
        <vt:lpwstr>2210.htm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2470.htm</vt:lpwstr>
      </vt:variant>
      <vt:variant>
        <vt:lpwstr/>
      </vt:variant>
      <vt:variant>
        <vt:i4>94</vt:i4>
      </vt:variant>
      <vt:variant>
        <vt:i4>78</vt:i4>
      </vt:variant>
      <vt:variant>
        <vt:i4>0</vt:i4>
      </vt:variant>
      <vt:variant>
        <vt:i4>5</vt:i4>
      </vt:variant>
      <vt:variant>
        <vt:lpwstr>2461.htm</vt:lpwstr>
      </vt:variant>
      <vt:variant>
        <vt:lpwstr/>
      </vt:variant>
      <vt:variant>
        <vt:i4>327761</vt:i4>
      </vt:variant>
      <vt:variant>
        <vt:i4>75</vt:i4>
      </vt:variant>
      <vt:variant>
        <vt:i4>0</vt:i4>
      </vt:variant>
      <vt:variant>
        <vt:i4>5</vt:i4>
      </vt:variant>
      <vt:variant>
        <vt:lpwstr>2191.htm</vt:lpwstr>
      </vt:variant>
      <vt:variant>
        <vt:lpwstr/>
      </vt:variant>
      <vt:variant>
        <vt:i4>131166</vt:i4>
      </vt:variant>
      <vt:variant>
        <vt:i4>72</vt:i4>
      </vt:variant>
      <vt:variant>
        <vt:i4>0</vt:i4>
      </vt:variant>
      <vt:variant>
        <vt:i4>5</vt:i4>
      </vt:variant>
      <vt:variant>
        <vt:lpwstr>2463.htm</vt:lpwstr>
      </vt:variant>
      <vt:variant>
        <vt:lpwstr/>
      </vt:variant>
      <vt:variant>
        <vt:i4>262238</vt:i4>
      </vt:variant>
      <vt:variant>
        <vt:i4>69</vt:i4>
      </vt:variant>
      <vt:variant>
        <vt:i4>0</vt:i4>
      </vt:variant>
      <vt:variant>
        <vt:i4>5</vt:i4>
      </vt:variant>
      <vt:variant>
        <vt:lpwstr>2465.htm</vt:lpwstr>
      </vt:variant>
      <vt:variant>
        <vt:lpwstr/>
      </vt:variant>
      <vt:variant>
        <vt:i4>95</vt:i4>
      </vt:variant>
      <vt:variant>
        <vt:i4>66</vt:i4>
      </vt:variant>
      <vt:variant>
        <vt:i4>0</vt:i4>
      </vt:variant>
      <vt:variant>
        <vt:i4>5</vt:i4>
      </vt:variant>
      <vt:variant>
        <vt:lpwstr>2471.htm</vt:lpwstr>
      </vt:variant>
      <vt:variant>
        <vt:lpwstr/>
      </vt:variant>
      <vt:variant>
        <vt:i4>327773</vt:i4>
      </vt:variant>
      <vt:variant>
        <vt:i4>63</vt:i4>
      </vt:variant>
      <vt:variant>
        <vt:i4>0</vt:i4>
      </vt:variant>
      <vt:variant>
        <vt:i4>5</vt:i4>
      </vt:variant>
      <vt:variant>
        <vt:lpwstr>2454.htm</vt:lpwstr>
      </vt:variant>
      <vt:variant>
        <vt:lpwstr/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72810534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_4._МЕТОДЫ_КОНТРОЛЯ</vt:lpwstr>
      </vt:variant>
      <vt:variant>
        <vt:i4>196673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196703</vt:i4>
      </vt:variant>
      <vt:variant>
        <vt:i4>51</vt:i4>
      </vt:variant>
      <vt:variant>
        <vt:i4>0</vt:i4>
      </vt:variant>
      <vt:variant>
        <vt:i4>5</vt:i4>
      </vt:variant>
      <vt:variant>
        <vt:lpwstr>2472.htm</vt:lpwstr>
      </vt:variant>
      <vt:variant>
        <vt:lpwstr/>
      </vt:variant>
      <vt:variant>
        <vt:i4>5439569</vt:i4>
      </vt:variant>
      <vt:variant>
        <vt:i4>48</vt:i4>
      </vt:variant>
      <vt:variant>
        <vt:i4>0</vt:i4>
      </vt:variant>
      <vt:variant>
        <vt:i4>5</vt:i4>
      </vt:variant>
      <vt:variant>
        <vt:lpwstr>40994.htm</vt:lpwstr>
      </vt:variant>
      <vt:variant>
        <vt:lpwstr/>
      </vt:variant>
      <vt:variant>
        <vt:i4>3276916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t2</vt:lpwstr>
      </vt:variant>
      <vt:variant>
        <vt:i4>5439569</vt:i4>
      </vt:variant>
      <vt:variant>
        <vt:i4>42</vt:i4>
      </vt:variant>
      <vt:variant>
        <vt:i4>0</vt:i4>
      </vt:variant>
      <vt:variant>
        <vt:i4>5</vt:i4>
      </vt:variant>
      <vt:variant>
        <vt:lpwstr>40994.htm</vt:lpwstr>
      </vt:variant>
      <vt:variant>
        <vt:lpwstr/>
      </vt:variant>
      <vt:variant>
        <vt:i4>852058</vt:i4>
      </vt:variant>
      <vt:variant>
        <vt:i4>39</vt:i4>
      </vt:variant>
      <vt:variant>
        <vt:i4>0</vt:i4>
      </vt:variant>
      <vt:variant>
        <vt:i4>5</vt:i4>
      </vt:variant>
      <vt:variant>
        <vt:lpwstr>2820.htm</vt:lpwstr>
      </vt:variant>
      <vt:variant>
        <vt:lpwstr/>
      </vt:variant>
      <vt:variant>
        <vt:i4>327761</vt:i4>
      </vt:variant>
      <vt:variant>
        <vt:i4>36</vt:i4>
      </vt:variant>
      <vt:variant>
        <vt:i4>0</vt:i4>
      </vt:variant>
      <vt:variant>
        <vt:i4>5</vt:i4>
      </vt:variant>
      <vt:variant>
        <vt:lpwstr>2191.htm</vt:lpwstr>
      </vt:variant>
      <vt:variant>
        <vt:lpwstr/>
      </vt:variant>
      <vt:variant>
        <vt:i4>852058</vt:i4>
      </vt:variant>
      <vt:variant>
        <vt:i4>33</vt:i4>
      </vt:variant>
      <vt:variant>
        <vt:i4>0</vt:i4>
      </vt:variant>
      <vt:variant>
        <vt:i4>5</vt:i4>
      </vt:variant>
      <vt:variant>
        <vt:lpwstr>2820.htm</vt:lpwstr>
      </vt:variant>
      <vt:variant>
        <vt:lpwstr/>
      </vt:variant>
      <vt:variant>
        <vt:i4>1966105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PRIL</vt:lpwstr>
      </vt:variant>
      <vt:variant>
        <vt:i4>65628</vt:i4>
      </vt:variant>
      <vt:variant>
        <vt:i4>27</vt:i4>
      </vt:variant>
      <vt:variant>
        <vt:i4>0</vt:i4>
      </vt:variant>
      <vt:variant>
        <vt:i4>5</vt:i4>
      </vt:variant>
      <vt:variant>
        <vt:lpwstr>2246.htm</vt:lpwstr>
      </vt:variant>
      <vt:variant>
        <vt:lpwstr/>
      </vt:variant>
      <vt:variant>
        <vt:i4>3211380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t1</vt:lpwstr>
      </vt:variant>
      <vt:variant>
        <vt:i4>1966105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PRIL</vt:lpwstr>
      </vt:variant>
      <vt:variant>
        <vt:i4>1966105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PRIL</vt:lpwstr>
      </vt:variant>
      <vt:variant>
        <vt:i4>1115234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_6._ГАРАНТИИ_ИЗГОТОВИТЕЛЯ</vt:lpwstr>
      </vt:variant>
      <vt:variant>
        <vt:i4>67634277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_5._МАРКИРОВКА,_ХРАНЕНИЕ</vt:lpwstr>
      </vt:variant>
      <vt:variant>
        <vt:i4>72810534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_4._МЕТОДЫ_КОНТРОЛЯ</vt:lpwstr>
      </vt:variant>
      <vt:variant>
        <vt:i4>3474509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_3._ПРАВИЛА_ПРИЕМКИ</vt:lpwstr>
      </vt:variant>
      <vt:variant>
        <vt:i4>3474485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_2._ТЕХНИЧЕСКИЕ_ТРЕБОВАНИЯ</vt:lpwstr>
      </vt:variant>
      <vt:variant>
        <vt:i4>69533779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_1._ТИПЫ_И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24022-80</dc:title>
  <dc:subject/>
  <dc:creator>Благий Андрей Владимирович</dc:creator>
  <cp:keywords/>
  <dc:description/>
  <cp:lastModifiedBy>User</cp:lastModifiedBy>
  <cp:revision>2</cp:revision>
  <dcterms:created xsi:type="dcterms:W3CDTF">2016-01-11T12:49:00Z</dcterms:created>
  <dcterms:modified xsi:type="dcterms:W3CDTF">2016-01-11T12:49:00Z</dcterms:modified>
</cp:coreProperties>
</file>