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4" w:rsidRDefault="00A667A4">
      <w:pPr>
        <w:spacing w:before="120" w:after="120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4" o:title=""/>
          </v:shape>
        </w:pict>
      </w:r>
    </w:p>
    <w:p w:rsidR="00A667A4" w:rsidRDefault="00A667A4">
      <w:pPr>
        <w:pStyle w:val="a5"/>
      </w:pPr>
      <w:r>
        <w:t>ГОСУДАРСТВЕННЫЙ СТАНДАРТ СОЮЗА ССР</w:t>
      </w:r>
    </w:p>
    <w:p w:rsidR="00A667A4" w:rsidRDefault="00A667A4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КОНСТРУКЦИИ И ИЗДЕЛИЯ БЕТОННЫЕ </w:t>
      </w:r>
      <w:r>
        <w:rPr>
          <w:b/>
          <w:sz w:val="28"/>
          <w:szCs w:val="28"/>
        </w:rPr>
        <w:br/>
        <w:t>И ЖЕЛЕЗОБЕТОННЫЕ СБОРНЫЕ</w:t>
      </w:r>
    </w:p>
    <w:p w:rsidR="00A667A4" w:rsidRDefault="00A667A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УСЛОВНЫЕ ОБОЗНАЧЕНИЯ (МАРКИ)</w:t>
      </w:r>
    </w:p>
    <w:p w:rsidR="00A667A4" w:rsidRDefault="00A667A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ГОСТ 23009-78</w:t>
      </w:r>
    </w:p>
    <w:p w:rsidR="00A667A4" w:rsidRDefault="00A667A4">
      <w:pPr>
        <w:spacing w:after="240"/>
        <w:jc w:val="center"/>
        <w:rPr>
          <w:b/>
          <w:sz w:val="24"/>
        </w:rPr>
      </w:pPr>
    </w:p>
    <w:p w:rsidR="00A667A4" w:rsidRDefault="00A667A4">
      <w:pPr>
        <w:spacing w:after="240"/>
        <w:jc w:val="center"/>
        <w:rPr>
          <w:b/>
        </w:rPr>
      </w:pPr>
      <w:r>
        <w:rPr>
          <w:b/>
        </w:rPr>
        <w:t>ГОСУДАРСТВЕННЫЙ СТРОИТЕЛЬНЫЙ КОМИТЕТ СССР</w:t>
      </w:r>
    </w:p>
    <w:p w:rsidR="00A667A4" w:rsidRDefault="00A667A4">
      <w:pPr>
        <w:spacing w:after="240"/>
        <w:jc w:val="center"/>
        <w:rPr>
          <w:b/>
          <w:spacing w:val="40"/>
        </w:rPr>
      </w:pPr>
      <w:r>
        <w:rPr>
          <w:b/>
          <w:spacing w:val="40"/>
        </w:rPr>
        <w:t>Москва</w:t>
      </w:r>
    </w:p>
    <w:p w:rsidR="00A667A4" w:rsidRDefault="00A667A4">
      <w:pPr>
        <w:spacing w:after="240"/>
        <w:jc w:val="center"/>
        <w:rPr>
          <w:b/>
          <w:sz w:val="24"/>
        </w:rPr>
      </w:pPr>
    </w:p>
    <w:p w:rsidR="00A667A4" w:rsidRDefault="00A667A4">
      <w:pPr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7128"/>
        <w:gridCol w:w="2159"/>
      </w:tblGrid>
      <w:tr w:rsidR="00A667A4">
        <w:trPr>
          <w:jc w:val="center"/>
        </w:trPr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7A4" w:rsidRDefault="00A667A4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КОНСТРУКЦИИ И ИЗДЕЛИЯ БЕТОННЫЕ</w:t>
            </w:r>
          </w:p>
          <w:p w:rsidR="00A667A4" w:rsidRDefault="00A667A4">
            <w:pPr>
              <w:tabs>
                <w:tab w:val="left" w:pos="5245"/>
              </w:tabs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ЖЕЛЕЗОБЕТОННЫЕ СБОРНЫЕ</w:t>
            </w:r>
          </w:p>
          <w:p w:rsidR="00A667A4" w:rsidRPr="00891DE2" w:rsidRDefault="00A667A4">
            <w:pPr>
              <w:tabs>
                <w:tab w:val="left" w:pos="5103"/>
              </w:tabs>
              <w:spacing w:after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Условные</w:t>
            </w:r>
            <w:r w:rsidRPr="00891DE2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  <w:r w:rsidRPr="00891DE2">
              <w:rPr>
                <w:b/>
                <w:sz w:val="24"/>
                <w:lang w:val="en-US"/>
              </w:rPr>
              <w:t xml:space="preserve"> (</w:t>
            </w:r>
            <w:r>
              <w:rPr>
                <w:b/>
                <w:sz w:val="24"/>
              </w:rPr>
              <w:t>марки</w:t>
            </w:r>
            <w:r w:rsidRPr="00891DE2">
              <w:rPr>
                <w:b/>
                <w:sz w:val="24"/>
                <w:lang w:val="en-US"/>
              </w:rPr>
              <w:t>)</w:t>
            </w:r>
          </w:p>
          <w:p w:rsidR="00A667A4" w:rsidRDefault="00A667A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Prefabricated concrete and reinforced concrete </w:t>
            </w:r>
            <w:r>
              <w:rPr>
                <w:sz w:val="24"/>
                <w:lang w:val="en-US"/>
              </w:rPr>
              <w:br/>
              <w:t>constructions and products. Symbols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marks</w:t>
            </w:r>
            <w:r>
              <w:rPr>
                <w:sz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7A4" w:rsidRDefault="00A667A4">
            <w:pPr>
              <w:spacing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ГОСТ </w:t>
            </w:r>
            <w:r>
              <w:rPr>
                <w:b/>
                <w:sz w:val="28"/>
              </w:rPr>
              <w:br/>
              <w:t>23009-78</w:t>
            </w:r>
          </w:p>
        </w:tc>
      </w:tr>
    </w:tbl>
    <w:p w:rsidR="00A667A4" w:rsidRDefault="00A667A4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 xml:space="preserve">Дата введения </w:t>
      </w:r>
      <w:r>
        <w:rPr>
          <w:b/>
          <w:sz w:val="24"/>
          <w:u w:val="single"/>
        </w:rPr>
        <w:t>01.01.79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Настоящий стандарт распространяется на сборные бетонные и железобетонные конструкции и изделия и устанавливает правила составления и применения условных обозначений (далее - марок) этих конструкций и изделий в разрабатываемых стандартах, технических условиях и проектной документации.</w: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A667A4" w:rsidRDefault="00A667A4">
      <w:pPr>
        <w:pStyle w:val="1"/>
      </w:pPr>
      <w:bookmarkStart w:id="0" w:name="_Toc76038574"/>
      <w:r>
        <w:t>1. ОСНОВНЫЕ ПОЛОЖЕНИЯ</w:t>
      </w:r>
      <w:bookmarkEnd w:id="0"/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1.1. Марка должна содержать обозначения основных характеристик конструкций и изделий.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1.2. Марка состоит из буквенно-цифровых групп, которые разделяются дефисом.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Число групп должно быть не более трех.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1.2.1. Первая группа должна содержать: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обозначение типа конструкции и изделия;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определяющие габаритные размеры (пролет, длину, ширину, высоту, толщину, диаметр и т.п.) или обозначение типоразмера конструкции и изделия.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1.2.2. Во второй группе следует приводить: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несущую способность конструкции и изделия;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класса напрягаемой арматуры;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lastRenderedPageBreak/>
        <w:t>вид бетона.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В марке конструкций и изделий, изготовляемых из тяжелого бетона, вид бетона не указывают.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1.2.3. В третью группу включаются дополнительные характеристики, отражающие особые условия применения конструкций и изделий: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стойкость к воздействию агрессивной среды;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сейсмостойкость (для конструкций и изделий, предназначенных для зданий и сооружений с расчетной сейсмичностью 7 баллов и выше);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стойкость к воздействию повышенных и высоких температур;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конструктивные особенности (наличие дополнительных закладных изделий, отверстий, проемов, вырезов и т.п.).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В третьей группе допускается приводить другие характеристики, отражающие условия применения конструкций и изделий.</w: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sz w:val="24"/>
        </w:rPr>
        <w:t xml:space="preserve">1.2.2, 1.2.3. </w:t>
      </w:r>
      <w:r>
        <w:rPr>
          <w:b/>
          <w:sz w:val="24"/>
        </w:rPr>
        <w:t>(Измененная редакция, Изм. № 1).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1.3. Обозначения первой группы должны включаться в марку всех бетонных и железобетонных конструкций и изделий.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Необходимость включения в состав марки второй и третьей групп обозначений определяется организацией, разрабатывающей стандарты, технические условия или рабочие чертежи конкретных конструкций и изделий.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1.4. Для обозначений характеристик конструкций и изделий в марке следует применять буквы русского алфавита и арабские цифры.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В обозначениях класса арматуры, а также класса труб по напорности допускается применение римских цифр.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1.5. Марку следует записывать в одну строку.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1.6.</w:t>
      </w:r>
      <w:r>
        <w:rPr>
          <w:b/>
          <w:sz w:val="24"/>
        </w:rPr>
        <w:t xml:space="preserve"> (Исключен, Изм. № 1)</w:t>
      </w:r>
      <w:r>
        <w:rPr>
          <w:sz w:val="24"/>
        </w:rPr>
        <w:t>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1.7. Структура марки конструкции и изделия в общем виде следующая:</w:t>
      </w:r>
    </w:p>
    <w:p w:rsidR="00A667A4" w:rsidRDefault="00343109">
      <w:pPr>
        <w:ind w:firstLine="283"/>
        <w:jc w:val="center"/>
        <w:rPr>
          <w:sz w:val="24"/>
        </w:rPr>
      </w:pPr>
      <w:r w:rsidRPr="00343109">
        <w:rPr>
          <w:sz w:val="24"/>
        </w:rPr>
        <w:pict>
          <v:shape id="_x0000_i1026" type="#_x0000_t75" style="width:428.25pt;height:249.75pt">
            <v:imagedata r:id="rId5" o:title=""/>
          </v:shape>
        </w:pic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A667A4" w:rsidRDefault="00A667A4">
      <w:pPr>
        <w:pStyle w:val="1"/>
      </w:pPr>
      <w:bookmarkStart w:id="1" w:name="_Toc76038575"/>
      <w:r>
        <w:t>2. ОБОЗНАЧЕНИЯ, ВХОДЯЩИЕ В МАРКУ</w:t>
      </w:r>
      <w:bookmarkEnd w:id="1"/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2.1. Обозначение типа конструкции и изделия в марках должно состоять из условного буквенного обозначения наименования конструкции и изделия.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Для обозначения типа конструкции и изделия следует применять прописные буквы. Число букв, как правило, не должно превышать трех.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lastRenderedPageBreak/>
        <w:t xml:space="preserve">Условные буквенные обозначения наименований основных конструкций и изделий приведены в рекомендуемом приложении </w:t>
      </w:r>
      <w:hyperlink w:anchor="PO0000024" w:tooltip="Приложение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>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Для конструкций, имеющих несколько типоразмеров, условное буквенное обозначение наименования конструкции допускается дополнять цифрой, стоящей перед обозначением типа конструкции.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2.2. Указываемые в марках габаритные размеры должны приводиться определяющие для данной конструкции или изделия.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Габаритные размеры приводятся координационные или конструктивные.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Размеры следует указывать в метрах или дециметрах (с округлением до целого числа). Для мелкоразмерных изделий размеры допускается указывать в сантиметрах.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В тех случаях, когда в марке указываются два или три определяющих размера (например, длина, ширина и высота), цифровые обозначения этих размеров разделяются точкой.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Вместо габаритных размеров в марках допускается приводить обозначение типоразмера конструкции и изделия.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2.3. Несущую способность конструкции и изделия следует указывать цифрами, соответствующими расчетной нагрузке.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Допускается приведение в марке цифрового обозначения, характеризующего несущую способность конструкции и изделия.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2.4. Класс напрягаемой арматуры следует приводить в соответствии со стандартами и техническими условиями на арматурную сталь и с нормативными документами по проектированию железобетонных конструкций.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2.5. Основные виды бетона обозначаются буквами: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Л - легкий бетон;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Я - ячеистый бетон;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С - плотный силикатный бетон;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М - мелкозернистый бетон;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Ж - жаростойкий бетон.</w:t>
      </w:r>
    </w:p>
    <w:p w:rsidR="00A667A4" w:rsidRDefault="00A667A4">
      <w:pPr>
        <w:ind w:firstLine="283"/>
        <w:jc w:val="both"/>
        <w:rPr>
          <w:sz w:val="24"/>
        </w:rPr>
      </w:pPr>
      <w:bookmarkStart w:id="2" w:name="п26"/>
      <w:bookmarkEnd w:id="2"/>
      <w:r>
        <w:rPr>
          <w:sz w:val="24"/>
        </w:rPr>
        <w:t>2.6. Стойкость к воздействию агрессивной среды необходимо указывать для конструкций и изделий, предназначенных для работы в условиях воздействия агрессивной среды.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Стойкость к воздействию агрессивной среды, характеризуемая показателями проницаемости бетона, обозначается: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Н - бетон нормальной проницаемости;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П - бетон пониженной проницаемости;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О - бетон особо низкой проницаемости.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 xml:space="preserve">Показатели бетона должны приниматься согласно </w:t>
      </w:r>
      <w:hyperlink r:id="rId6" w:tooltip="Защита строительных конструкций от коррозии" w:history="1">
        <w:r>
          <w:rPr>
            <w:rStyle w:val="a3"/>
            <w:sz w:val="24"/>
          </w:rPr>
          <w:t>СНиП 2.03.11-85</w:t>
        </w:r>
      </w:hyperlink>
      <w:r>
        <w:rPr>
          <w:sz w:val="24"/>
        </w:rPr>
        <w:t>.</w: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2.7. Сейсмостойкость конструкций и изделий, предназначенных для зданий и сооружений с расчетной сейсмичностью 7 баллов и выше, обозначается буквой С.</w:t>
      </w:r>
    </w:p>
    <w:p w:rsidR="00A667A4" w:rsidRDefault="00A667A4">
      <w:pPr>
        <w:ind w:firstLine="283"/>
        <w:jc w:val="both"/>
        <w:rPr>
          <w:sz w:val="24"/>
        </w:rPr>
      </w:pPr>
      <w:bookmarkStart w:id="3" w:name="п28"/>
      <w:r>
        <w:rPr>
          <w:sz w:val="24"/>
        </w:rPr>
        <w:t>2.8</w:t>
      </w:r>
      <w:bookmarkEnd w:id="3"/>
      <w:r>
        <w:rPr>
          <w:sz w:val="24"/>
        </w:rPr>
        <w:t>. Стойкость к воздействию повышенных и высоких температур, которая указывается для конструкций и изделий, предназначенных для работы в условиях воздействия этих температур, характеризуется классом жаростойкого бетона, устанавливаемым в зависимости от предельно допустимой температуры применения бетона согласно ГОСТ 20910-82.</w:t>
      </w:r>
    </w:p>
    <w:p w:rsidR="00A667A4" w:rsidRDefault="00A667A4">
      <w:pPr>
        <w:ind w:firstLine="283"/>
        <w:jc w:val="both"/>
        <w:rPr>
          <w:sz w:val="24"/>
        </w:rPr>
      </w:pPr>
      <w:r>
        <w:rPr>
          <w:sz w:val="24"/>
        </w:rPr>
        <w:t>2.9. Особенности конструкции и изделия (наличие дополнительных закладных изделий, отверстий, проемов, вырезов и т.п.) отражаются в марке арабскими цифрами или строчными буквами.</w: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sz w:val="24"/>
        </w:rPr>
        <w:t xml:space="preserve">2.10. </w:t>
      </w:r>
      <w:r>
        <w:rPr>
          <w:b/>
          <w:sz w:val="24"/>
        </w:rPr>
        <w:t>(Исключен, Изм. № 1).</w:t>
      </w:r>
    </w:p>
    <w:p w:rsidR="00A667A4" w:rsidRDefault="00A667A4">
      <w:pPr>
        <w:pStyle w:val="1"/>
        <w:spacing w:after="0"/>
        <w:jc w:val="right"/>
        <w:rPr>
          <w:b w:val="0"/>
          <w:bCs w:val="0"/>
          <w:i/>
        </w:rPr>
      </w:pPr>
      <w:bookmarkStart w:id="4" w:name="_Toc76038576"/>
      <w:bookmarkStart w:id="5" w:name="PO0000024"/>
      <w:r>
        <w:rPr>
          <w:b w:val="0"/>
          <w:bCs w:val="0"/>
          <w:i/>
        </w:rPr>
        <w:t>ПРИЛОЖЕНИЕ 1</w:t>
      </w:r>
      <w:bookmarkEnd w:id="4"/>
    </w:p>
    <w:bookmarkEnd w:id="5"/>
    <w:p w:rsidR="00A667A4" w:rsidRDefault="00A667A4">
      <w:pPr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A667A4" w:rsidRDefault="00A667A4">
      <w:pPr>
        <w:pStyle w:val="1"/>
      </w:pPr>
      <w:bookmarkStart w:id="6" w:name="_Toc76038577"/>
      <w:r>
        <w:lastRenderedPageBreak/>
        <w:t>УСЛОВНЫЕ БУКВЕННЫЕ ОБОЗНАЧЕНИЯ НАИМЕНОВАНИЙ ОСНОВНЫХ КОНСТРУКЦИЙ И ИЗДЕЛИЙ</w:t>
      </w:r>
      <w:bookmarkEnd w:id="6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477"/>
        <w:gridCol w:w="2650"/>
      </w:tblGrid>
      <w:tr w:rsidR="00A667A4">
        <w:trPr>
          <w:tblHeader/>
          <w:jc w:val="center"/>
        </w:trPr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4" w:rsidRDefault="00A667A4">
            <w:pPr>
              <w:jc w:val="center"/>
            </w:pPr>
            <w:r>
              <w:t>Наименование конструкции и изделия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4" w:rsidRDefault="00A667A4">
            <w:pPr>
              <w:jc w:val="center"/>
            </w:pPr>
            <w:r>
              <w:t>Условное буквенное обозначение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Сваи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С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Фундаменты (столбчатые, плитные и т.п.)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Фундаменты ленточные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ФЛ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Фундаменты под оборудование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ФО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Фундаментные блоки и блоки стен подвалов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ФБ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фундаментные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БФ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Колонны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К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Колонные эстакады под трубопроводы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КЭ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Ригели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Р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(кроме оговоренных жиже)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подкрановые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БК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обвязочные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БО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подстропильные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стропильные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БС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пролетных строений эстакад под трубопроводы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БЭ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Балки перекрытий коммуникационных тоннелей и каналов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БТ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Фермы подстропильные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Фермы стропильные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ФС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перекрытий и покрытий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днищ коммуникационных тоннелей и каналов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ПД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перекрытий коммуникационных тоннелей и каналов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ПТ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Лотки каналов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ЛК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карнизные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ПК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парапетные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Плиты подоконные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ПО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Опорные подушки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ОП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Лестничные марши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ЛМ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Лестничные площадки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ЛП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Ступени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ЛС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Косоуры, балки лестничных площадок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ЛБ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Стеновые блоки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СБ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Стеновые блоки цокольные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СБЦ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Панели стеновые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ПС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Панели перегородок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ПГ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Перемычки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ПР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Стенки подпорные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СТ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Шпалы железобетонные для железных дорог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Ш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Трубы железобетонные безнапорные: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раструбные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Т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фальцевые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ТФ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Трубы железобетонные напорные: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виброгидропрессованные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ТН</w:t>
            </w:r>
          </w:p>
        </w:tc>
      </w:tr>
      <w:tr w:rsidR="00A667A4">
        <w:trPr>
          <w:jc w:val="center"/>
        </w:trPr>
        <w:tc>
          <w:tcPr>
            <w:tcW w:w="3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Трубы бетонные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r>
              <w:t>БТ</w:t>
            </w:r>
          </w:p>
        </w:tc>
      </w:tr>
    </w:tbl>
    <w:p w:rsidR="00A667A4" w:rsidRDefault="00A667A4">
      <w:pPr>
        <w:spacing w:before="120"/>
        <w:ind w:firstLine="283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A667A4" w:rsidRDefault="00A667A4">
      <w:pPr>
        <w:ind w:firstLine="283"/>
        <w:jc w:val="both"/>
        <w:rPr>
          <w:b/>
          <w:sz w:val="24"/>
        </w:rPr>
      </w:pPr>
      <w:r>
        <w:rPr>
          <w:sz w:val="24"/>
        </w:rPr>
        <w:t xml:space="preserve">Приложение </w:t>
      </w:r>
      <w:r>
        <w:rPr>
          <w:color w:val="000000"/>
          <w:sz w:val="24"/>
        </w:rPr>
        <w:t>2</w:t>
      </w:r>
      <w:r>
        <w:rPr>
          <w:sz w:val="24"/>
        </w:rPr>
        <w:t xml:space="preserve">. </w:t>
      </w:r>
      <w:r>
        <w:rPr>
          <w:b/>
          <w:sz w:val="24"/>
        </w:rPr>
        <w:t>(Исключено, Изм. № 1).</w:t>
      </w:r>
    </w:p>
    <w:p w:rsidR="00A667A4" w:rsidRDefault="00A667A4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ИНФОРМАЦИОННЫЕ ДАННЫЕ</w:t>
      </w:r>
    </w:p>
    <w:p w:rsidR="00A667A4" w:rsidRDefault="00A667A4">
      <w:p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A667A4" w:rsidRDefault="00A667A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>ИСПОЛНИТЕЛИ</w:t>
      </w:r>
    </w:p>
    <w:p w:rsidR="00A667A4" w:rsidRDefault="00A667A4">
      <w:pPr>
        <w:spacing w:after="12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С. Н. Нерсесов, </w:t>
      </w:r>
      <w:r>
        <w:rPr>
          <w:sz w:val="24"/>
        </w:rPr>
        <w:t>канд. техн. наук</w:t>
      </w:r>
      <w:r>
        <w:rPr>
          <w:b/>
          <w:sz w:val="24"/>
        </w:rPr>
        <w:t xml:space="preserve"> </w:t>
      </w:r>
      <w:r>
        <w:rPr>
          <w:sz w:val="24"/>
        </w:rPr>
        <w:t>(руководитель темы)</w:t>
      </w:r>
      <w:r>
        <w:rPr>
          <w:b/>
          <w:sz w:val="24"/>
        </w:rPr>
        <w:t xml:space="preserve">; Л. П. Киселев; Т. В. Захарченко; А. Я. Розенблюм, </w:t>
      </w:r>
      <w:r>
        <w:rPr>
          <w:sz w:val="24"/>
        </w:rPr>
        <w:t>канд. техн. наук</w:t>
      </w:r>
      <w:r>
        <w:rPr>
          <w:b/>
          <w:sz w:val="24"/>
        </w:rPr>
        <w:t xml:space="preserve">; В. А. Бажанова; С. А. Каган, </w:t>
      </w:r>
      <w:r>
        <w:rPr>
          <w:sz w:val="24"/>
        </w:rPr>
        <w:t xml:space="preserve">канд. </w:t>
      </w:r>
      <w:r>
        <w:rPr>
          <w:sz w:val="24"/>
        </w:rPr>
        <w:lastRenderedPageBreak/>
        <w:t>техн. наук</w:t>
      </w:r>
      <w:r>
        <w:rPr>
          <w:b/>
          <w:sz w:val="24"/>
        </w:rPr>
        <w:t xml:space="preserve">; М. Л. Зайченко, </w:t>
      </w:r>
      <w:r>
        <w:rPr>
          <w:sz w:val="24"/>
        </w:rPr>
        <w:t>канд.</w:t>
      </w:r>
      <w:r>
        <w:rPr>
          <w:b/>
          <w:sz w:val="24"/>
        </w:rPr>
        <w:t xml:space="preserve"> </w:t>
      </w:r>
      <w:r>
        <w:rPr>
          <w:sz w:val="24"/>
        </w:rPr>
        <w:t>техн. наук;</w:t>
      </w:r>
      <w:r>
        <w:rPr>
          <w:b/>
          <w:sz w:val="24"/>
        </w:rPr>
        <w:t xml:space="preserve"> Н. А. Дыховичная; Ф. И. Анацкий; А. М. Гераськин; В. Н. Рудаков; Б. В. Казаринов; Г. М. Шереметова; И. А. Жолобов; Е. А. Антонов; В. И. Иванов; В. М. Скубко</w:t>
      </w:r>
    </w:p>
    <w:p w:rsidR="00A667A4" w:rsidRDefault="00A667A4">
      <w:p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УТВЕРЖДЕН И ВВЕДЕН В ДЕЙСТВИЕ Постановлением Государственного комитета Совета Министров СССР по делам строительства от 18.01.78 № 5</w:t>
      </w:r>
    </w:p>
    <w:p w:rsidR="00A667A4" w:rsidRDefault="00A667A4">
      <w:p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ВВЕДЕН ВПЕРВЫЕ</w:t>
      </w:r>
    </w:p>
    <w:p w:rsidR="00A667A4" w:rsidRDefault="00A667A4">
      <w:pPr>
        <w:spacing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6130"/>
        <w:gridCol w:w="2997"/>
      </w:tblGrid>
      <w:tr w:rsidR="00A667A4">
        <w:trPr>
          <w:tblHeader/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4" w:rsidRDefault="00A667A4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4" w:rsidRDefault="00A667A4">
            <w:pPr>
              <w:jc w:val="center"/>
            </w:pPr>
            <w:r>
              <w:t>Номер пункта</w:t>
            </w:r>
          </w:p>
        </w:tc>
      </w:tr>
      <w:tr w:rsidR="00A667A4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both"/>
            </w:pPr>
            <w:r>
              <w:t>ГОСТ 20910-82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hyperlink w:anchor="п28" w:tooltip="Пункт 2.8" w:history="1">
              <w:r>
                <w:rPr>
                  <w:rStyle w:val="a3"/>
                </w:rPr>
                <w:t>2.8</w:t>
              </w:r>
            </w:hyperlink>
          </w:p>
        </w:tc>
      </w:tr>
      <w:tr w:rsidR="00A667A4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4" w:rsidRDefault="00A667A4">
            <w:pPr>
              <w:jc w:val="both"/>
            </w:pPr>
            <w:hyperlink r:id="rId7" w:tooltip="Защита строительных конструкций от коррозии" w:history="1">
              <w:r>
                <w:rPr>
                  <w:rStyle w:val="a3"/>
                </w:rPr>
                <w:t>СНиП 2.03.11-85</w:t>
              </w:r>
            </w:hyperlink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4" w:rsidRDefault="00A667A4">
            <w:pPr>
              <w:jc w:val="center"/>
            </w:pPr>
            <w:hyperlink w:anchor="п26" w:tooltip="Пункт 2.6" w:history="1">
              <w:r>
                <w:rPr>
                  <w:rStyle w:val="a3"/>
                </w:rPr>
                <w:t>2.6</w:t>
              </w:r>
            </w:hyperlink>
          </w:p>
        </w:tc>
      </w:tr>
    </w:tbl>
    <w:p w:rsidR="00A667A4" w:rsidRDefault="00A667A4">
      <w:pPr>
        <w:spacing w:before="120" w:after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>5. ПЕРЕИЗДАНИЕ (декабрь 1987 г.) с Изменением № 1, утвержденным в декабре 1987 г. (ИУС 4-88)</w:t>
      </w:r>
    </w:p>
    <w:p w:rsidR="00A667A4" w:rsidRDefault="00A667A4">
      <w:pPr>
        <w:spacing w:before="120" w:after="120"/>
        <w:jc w:val="center"/>
        <w:rPr>
          <w:b/>
          <w:sz w:val="24"/>
        </w:rPr>
      </w:pPr>
    </w:p>
    <w:p w:rsidR="00A667A4" w:rsidRDefault="00A667A4">
      <w:pPr>
        <w:spacing w:before="120" w:after="120"/>
        <w:jc w:val="center"/>
        <w:rPr>
          <w:b/>
          <w:sz w:val="24"/>
          <w:lang w:val="en-US"/>
        </w:rPr>
      </w:pPr>
      <w:r>
        <w:rPr>
          <w:b/>
          <w:sz w:val="24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7"/>
      </w:tblGrid>
      <w:tr w:rsidR="00A66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67A4" w:rsidRDefault="00A667A4">
            <w:pPr>
              <w:pStyle w:val="10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TOC \o "2-3" \h \z \t "Заголовок 1;1" </w:instrText>
            </w:r>
            <w:r>
              <w:rPr>
                <w:lang w:val="en-US"/>
              </w:rPr>
              <w:fldChar w:fldCharType="separate"/>
            </w:r>
            <w:hyperlink w:anchor="_Toc76038574" w:history="1">
              <w:r>
                <w:rPr>
                  <w:rStyle w:val="a3"/>
                </w:rPr>
                <w:t>1. Основные положения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_Toc76038574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667A4" w:rsidRDefault="00A667A4">
            <w:pPr>
              <w:pStyle w:val="10"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76038575" w:history="1">
              <w:r>
                <w:rPr>
                  <w:rStyle w:val="a3"/>
                </w:rPr>
                <w:t>2. Обозначения, входящие в марку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_Toc76038575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A667A4" w:rsidRDefault="00A667A4">
            <w:pPr>
              <w:pStyle w:val="30"/>
              <w:tabs>
                <w:tab w:val="right" w:leader="dot" w:pos="9071"/>
              </w:tabs>
              <w:ind w:left="0" w:right="454"/>
              <w:jc w:val="both"/>
            </w:pPr>
            <w:hyperlink w:anchor="_Toc76038576" w:history="1">
              <w:r>
                <w:rPr>
                  <w:rStyle w:val="a3"/>
                </w:rPr>
                <w:t>Приложение 1</w:t>
              </w:r>
              <w:r>
                <w:rPr>
                  <w:rStyle w:val="a3"/>
                  <w:lang w:val="en-US"/>
                </w:rPr>
                <w:t xml:space="preserve"> </w:t>
              </w:r>
              <w:r>
                <w:rPr>
                  <w:rStyle w:val="a3"/>
                </w:rPr>
                <w:t>Условные буквенные обозначения наименований основных конструкций и изделий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_Toc76038576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rPr>
                <w:lang w:val="en-US"/>
              </w:rPr>
              <w:fldChar w:fldCharType="end"/>
            </w:r>
          </w:p>
        </w:tc>
      </w:tr>
    </w:tbl>
    <w:p w:rsidR="00A667A4" w:rsidRDefault="00A667A4">
      <w:pPr>
        <w:jc w:val="both"/>
        <w:rPr>
          <w:b/>
          <w:sz w:val="24"/>
          <w:lang w:val="en-US"/>
        </w:rPr>
      </w:pPr>
    </w:p>
    <w:sectPr w:rsidR="00A667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283"/>
  <w:drawingGridHorizontalSpacing w:val="78"/>
  <w:drawingGridVerticalSpacing w:val="106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09"/>
    <w:rsid w:val="00343109"/>
    <w:rsid w:val="00891DE2"/>
    <w:rsid w:val="00A6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"/>
    <w:next w:val="a"/>
    <w:qFormat/>
    <w:pPr>
      <w:keepNext/>
      <w:spacing w:after="240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ind w:left="403"/>
    </w:pPr>
    <w:rPr>
      <w:sz w:val="24"/>
    </w:rPr>
  </w:style>
  <w:style w:type="paragraph" w:styleId="40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caption"/>
    <w:basedOn w:val="a"/>
    <w:next w:val="a"/>
    <w:qFormat/>
    <w:pPr>
      <w:pBdr>
        <w:bottom w:val="single" w:sz="6" w:space="1" w:color="auto"/>
      </w:pBdr>
      <w:spacing w:before="120"/>
      <w:jc w:val="center"/>
    </w:pPr>
    <w:rPr>
      <w:b/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Local%20Settings\Temp\Rar$DI00.750\76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\Rar$DI00.750\764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23009-78</vt:lpstr>
    </vt:vector>
  </TitlesOfParts>
  <Company>http://www.worldofauto.ru/</Company>
  <LinksUpToDate>false</LinksUpToDate>
  <CharactersWithSpaces>8847</CharactersWithSpaces>
  <SharedDoc>false</SharedDoc>
  <HLinks>
    <vt:vector size="48" baseType="variant"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_Toc76038576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_Toc76038575</vt:lpwstr>
      </vt:variant>
      <vt:variant>
        <vt:i4>1245240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_Toc76038574</vt:lpwstr>
      </vt:variant>
      <vt:variant>
        <vt:i4>3277887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п26</vt:lpwstr>
      </vt:variant>
      <vt:variant>
        <vt:i4>7077995</vt:i4>
      </vt:variant>
      <vt:variant>
        <vt:i4>9</vt:i4>
      </vt:variant>
      <vt:variant>
        <vt:i4>0</vt:i4>
      </vt:variant>
      <vt:variant>
        <vt:i4>5</vt:i4>
      </vt:variant>
      <vt:variant>
        <vt:lpwstr>764.htm</vt:lpwstr>
      </vt:variant>
      <vt:variant>
        <vt:lpwstr/>
      </vt:variant>
      <vt:variant>
        <vt:i4>3277887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п28</vt:lpwstr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764.htm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PO0000024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23009-78</dc:title>
  <dc:subject/>
  <dc:creator>Благий Андрей Владимирович</dc:creator>
  <cp:keywords/>
  <dc:description/>
  <cp:lastModifiedBy>User</cp:lastModifiedBy>
  <cp:revision>2</cp:revision>
  <cp:lastPrinted>2004-05-26T14:16:00Z</cp:lastPrinted>
  <dcterms:created xsi:type="dcterms:W3CDTF">2016-01-11T12:55:00Z</dcterms:created>
  <dcterms:modified xsi:type="dcterms:W3CDTF">2016-01-11T12:55:00Z</dcterms:modified>
</cp:coreProperties>
</file>